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仿宋_GB2312" w:hAnsi="仿宋" w:eastAsia="仿宋_GB2312" w:cs="Times New Roman"/>
          <w:sz w:val="28"/>
          <w:szCs w:val="28"/>
          <w:lang w:val="en-US" w:eastAsia="zh-CN"/>
        </w:rPr>
      </w:pPr>
      <w:r>
        <w:rPr>
          <w:rFonts w:hint="eastAsia" w:ascii="仿宋_GB2312" w:hAnsi="仿宋" w:eastAsia="仿宋_GB2312" w:cs="Times New Roman"/>
          <w:sz w:val="28"/>
          <w:szCs w:val="28"/>
          <w:lang w:val="en-US" w:eastAsia="zh-CN"/>
        </w:rPr>
        <w:t>附件5</w:t>
      </w:r>
    </w:p>
    <w:p>
      <w:pPr>
        <w:spacing w:before="156" w:beforeLines="50" w:after="156" w:afterLines="50" w:line="580" w:lineRule="exact"/>
        <w:jc w:val="center"/>
        <w:rPr>
          <w:rFonts w:hint="eastAsia" w:ascii="黑体" w:hAnsi="黑体" w:eastAsia="黑体" w:cs="Times New Roman"/>
          <w:sz w:val="30"/>
          <w:szCs w:val="30"/>
        </w:rPr>
      </w:pPr>
      <w:bookmarkStart w:id="0" w:name="_GoBack"/>
      <w:r>
        <w:rPr>
          <w:rFonts w:hint="eastAsia" w:ascii="黑体" w:hAnsi="黑体" w:eastAsia="黑体" w:cs="Times New Roman"/>
          <w:sz w:val="30"/>
          <w:szCs w:val="30"/>
        </w:rPr>
        <w:t>上海立信会计金融学院“文明单位”测评指标（适用于教学单位）</w:t>
      </w:r>
    </w:p>
    <w:bookmarkEnd w:id="0"/>
    <w:tbl>
      <w:tblPr>
        <w:tblStyle w:val="2"/>
        <w:tblpPr w:leftFromText="180" w:rightFromText="180" w:vertAnchor="text" w:tblpXSpec="center" w:tblpY="1"/>
        <w:tblOverlap w:val="never"/>
        <w:tblW w:w="12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40"/>
        <w:gridCol w:w="1049"/>
        <w:gridCol w:w="9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640" w:type="dxa"/>
            <w:shd w:val="clear" w:color="auto" w:fill="auto"/>
            <w:tcMar>
              <w:top w:w="113" w:type="dxa"/>
              <w:left w:w="0" w:type="dxa"/>
              <w:bottom w:w="113" w:type="dxa"/>
              <w:right w:w="0" w:type="dxa"/>
            </w:tcMar>
            <w:vAlign w:val="center"/>
          </w:tcPr>
          <w:p>
            <w:pPr>
              <w:widowControl/>
              <w:snapToGrid w:val="0"/>
              <w:jc w:val="center"/>
              <w:rPr>
                <w:rFonts w:hint="default" w:ascii="黑体" w:hAnsi="黑体" w:eastAsia="黑体" w:cs="宋体"/>
                <w:b/>
                <w:bCs/>
                <w:kern w:val="0"/>
                <w:sz w:val="24"/>
                <w:szCs w:val="24"/>
                <w:lang w:val="en-US" w:eastAsia="zh-CN"/>
              </w:rPr>
            </w:pPr>
            <w:r>
              <w:rPr>
                <w:rFonts w:hint="eastAsia" w:ascii="黑体" w:hAnsi="黑体" w:eastAsia="黑体" w:cs="宋体"/>
                <w:b/>
                <w:bCs/>
                <w:kern w:val="0"/>
                <w:sz w:val="24"/>
                <w:szCs w:val="24"/>
                <w:lang w:val="en-US" w:eastAsia="zh-CN"/>
              </w:rPr>
              <w:t>一级指标</w:t>
            </w:r>
          </w:p>
        </w:tc>
        <w:tc>
          <w:tcPr>
            <w:tcW w:w="1049" w:type="dxa"/>
            <w:shd w:val="clear" w:color="auto" w:fill="auto"/>
            <w:tcMar>
              <w:top w:w="113" w:type="dxa"/>
              <w:left w:w="0" w:type="dxa"/>
              <w:bottom w:w="113" w:type="dxa"/>
              <w:right w:w="0" w:type="dxa"/>
            </w:tcMar>
            <w:vAlign w:val="center"/>
          </w:tcPr>
          <w:p>
            <w:pPr>
              <w:widowControl/>
              <w:snapToGrid w:val="0"/>
              <w:jc w:val="center"/>
              <w:rPr>
                <w:rFonts w:hint="default" w:ascii="黑体" w:hAnsi="黑体" w:eastAsia="黑体" w:cs="宋体"/>
                <w:b/>
                <w:bCs/>
                <w:kern w:val="0"/>
                <w:sz w:val="24"/>
                <w:szCs w:val="24"/>
                <w:lang w:val="en-US" w:eastAsia="zh-CN"/>
              </w:rPr>
            </w:pPr>
            <w:r>
              <w:rPr>
                <w:rFonts w:hint="eastAsia" w:ascii="黑体" w:hAnsi="黑体" w:eastAsia="黑体" w:cs="宋体"/>
                <w:b/>
                <w:bCs/>
                <w:kern w:val="0"/>
                <w:sz w:val="24"/>
                <w:szCs w:val="24"/>
                <w:lang w:val="en-US" w:eastAsia="zh-CN"/>
              </w:rPr>
              <w:t>二级指标</w:t>
            </w:r>
          </w:p>
        </w:tc>
        <w:tc>
          <w:tcPr>
            <w:tcW w:w="9991" w:type="dxa"/>
            <w:shd w:val="clear" w:color="auto" w:fill="auto"/>
            <w:tcMar>
              <w:top w:w="113" w:type="dxa"/>
              <w:left w:w="113" w:type="dxa"/>
              <w:bottom w:w="113" w:type="dxa"/>
              <w:right w:w="113" w:type="dxa"/>
            </w:tcMar>
            <w:vAlign w:val="center"/>
          </w:tcPr>
          <w:p>
            <w:pPr>
              <w:widowControl/>
              <w:snapToGrid w:val="0"/>
              <w:jc w:val="center"/>
              <w:rPr>
                <w:rFonts w:ascii="黑体" w:hAnsi="黑体" w:eastAsia="黑体" w:cs="宋体"/>
                <w:b/>
                <w:bCs/>
                <w:kern w:val="0"/>
                <w:sz w:val="24"/>
                <w:szCs w:val="24"/>
              </w:rPr>
            </w:pPr>
            <w:r>
              <w:rPr>
                <w:rFonts w:hint="eastAsia" w:ascii="黑体" w:hAnsi="黑体" w:eastAsia="黑体" w:cs="宋体"/>
                <w:b/>
                <w:bCs/>
                <w:kern w:val="0"/>
                <w:sz w:val="24"/>
                <w:szCs w:val="24"/>
                <w:lang w:val="en-US" w:eastAsia="zh-CN"/>
              </w:rPr>
              <w:t>评价</w:t>
            </w:r>
            <w:r>
              <w:rPr>
                <w:rFonts w:hint="eastAsia" w:ascii="黑体" w:hAnsi="黑体" w:eastAsia="黑体" w:cs="宋体"/>
                <w:b/>
                <w:bCs/>
                <w:kern w:val="0"/>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tblHeader/>
          <w:jc w:val="center"/>
        </w:trPr>
        <w:tc>
          <w:tcPr>
            <w:tcW w:w="1640"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Ⅰ-1</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强化思想引领</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培育时代新人</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27</w:t>
            </w:r>
            <w:r>
              <w:rPr>
                <w:rFonts w:hint="eastAsia" w:ascii="楷体" w:hAnsi="楷体" w:eastAsia="楷体" w:cs="方正楷体简体"/>
                <w:kern w:val="0"/>
                <w:sz w:val="24"/>
                <w:lang w:val="zh-CN"/>
              </w:rPr>
              <w:t>分）</w:t>
            </w: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Ⅱ-1</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理论学习</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8</w:t>
            </w:r>
            <w:r>
              <w:rPr>
                <w:rFonts w:hint="eastAsia" w:ascii="楷体" w:hAnsi="楷体" w:eastAsia="楷体" w:cs="方正楷体简体"/>
                <w:kern w:val="0"/>
                <w:sz w:val="24"/>
                <w:lang w:val="zh-CN"/>
              </w:rPr>
              <w:t>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持续深入学习习近平新时代中国特色社会主义思想，推进习近平新时代中国特色社会主义思想和党的创新理论进校园、进课堂、进头脑，及时部署学习中央、市委重要会议、文件、讲话精神，有学习计划和督促检查。（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highlight w:val="none"/>
                <w:lang w:val="zh-CN"/>
              </w:rPr>
              <w:t>2）</w:t>
            </w:r>
            <w:r>
              <w:rPr>
                <w:rFonts w:hint="eastAsia" w:ascii="楷体" w:hAnsi="楷体" w:eastAsia="楷体" w:cs="方正楷体简体"/>
                <w:kern w:val="0"/>
                <w:sz w:val="24"/>
                <w:lang w:val="zh-CN"/>
              </w:rPr>
              <w:t>二级学院中心组集中学习原则上每月不少于1次。坚持以自学为基础，集中学习为基本形式，有制度、有计划、有主题、有考勤、有记录、有成果。（2分）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3）组织教师定期开展政治理论学习，原则上每月不少于一次，有制度、有计划，内容丰富，形式多样。（</w:t>
            </w:r>
            <w:r>
              <w:rPr>
                <w:rFonts w:hint="eastAsia" w:ascii="楷体" w:hAnsi="楷体" w:eastAsia="楷体" w:cs="方正楷体简体"/>
                <w:kern w:val="0"/>
                <w:sz w:val="24"/>
                <w:lang w:val="en-US" w:eastAsia="zh-CN"/>
              </w:rPr>
              <w:t>2</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4）用好“学习强国”平台开展学习，原则上做到师生党员全覆盖，各级党组织定期了解掌握师生党员学习情况，做好督促指导。（</w:t>
            </w:r>
            <w:r>
              <w:rPr>
                <w:rFonts w:hint="eastAsia" w:ascii="楷体" w:hAnsi="楷体" w:eastAsia="楷体" w:cs="方正楷体简体"/>
                <w:kern w:val="0"/>
                <w:sz w:val="24"/>
                <w:lang w:val="en-US" w:eastAsia="zh-CN"/>
              </w:rPr>
              <w:t>2</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7" w:hRule="exact"/>
          <w:tblHeader/>
          <w:jc w:val="center"/>
        </w:trPr>
        <w:tc>
          <w:tcPr>
            <w:tcW w:w="1640"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Ⅰ-1</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强化思想引领</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培育时代新人</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27</w:t>
            </w:r>
            <w:r>
              <w:rPr>
                <w:rFonts w:hint="eastAsia" w:ascii="楷体" w:hAnsi="楷体" w:eastAsia="楷体" w:cs="方正楷体简体"/>
                <w:kern w:val="0"/>
                <w:sz w:val="24"/>
                <w:lang w:val="zh-CN"/>
              </w:rPr>
              <w:t>分）</w:t>
            </w: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Ⅱ-2</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思政教育</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（8分）</w:t>
            </w:r>
          </w:p>
        </w:tc>
        <w:tc>
          <w:tcPr>
            <w:tcW w:w="9991" w:type="dxa"/>
            <w:shd w:val="clear" w:color="auto" w:fill="auto"/>
            <w:tcMar>
              <w:top w:w="113" w:type="dxa"/>
              <w:left w:w="113" w:type="dxa"/>
              <w:bottom w:w="113" w:type="dxa"/>
              <w:right w:w="113"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楷体" w:hAnsi="楷体" w:eastAsia="楷体" w:cs="方正楷体简体"/>
                <w:kern w:val="0"/>
                <w:sz w:val="24"/>
                <w:lang w:val="zh-CN"/>
              </w:rPr>
            </w:pPr>
            <w:r>
              <w:rPr>
                <w:rFonts w:hint="eastAsia" w:ascii="楷体" w:hAnsi="楷体" w:eastAsia="楷体" w:cs="方正楷体简体"/>
                <w:kern w:val="0"/>
                <w:sz w:val="24"/>
                <w:lang w:val="zh-CN"/>
              </w:rPr>
              <w:t>5）</w:t>
            </w:r>
            <w:r>
              <w:rPr>
                <w:rFonts w:hint="eastAsia" w:ascii="楷体" w:hAnsi="楷体" w:eastAsia="楷体" w:cs="方正楷体简体"/>
                <w:kern w:val="0"/>
                <w:sz w:val="24"/>
                <w:lang w:val="en-US" w:eastAsia="zh-CN"/>
              </w:rPr>
              <w:t>贯彻落实《“三全育人”综合改革二级学院工作实施意见》，</w:t>
            </w:r>
            <w:r>
              <w:rPr>
                <w:rFonts w:hint="default" w:ascii="楷体" w:hAnsi="楷体" w:eastAsia="楷体" w:cs="方正楷体简体"/>
                <w:kern w:val="0"/>
                <w:sz w:val="24"/>
                <w:lang w:val="en-US" w:eastAsia="zh-CN"/>
              </w:rPr>
              <w:t>结合学院特点和专业特色，</w:t>
            </w:r>
            <w:r>
              <w:rPr>
                <w:rFonts w:hint="eastAsia" w:ascii="楷体" w:hAnsi="楷体" w:eastAsia="楷体" w:cs="方正楷体简体"/>
                <w:kern w:val="0"/>
                <w:sz w:val="24"/>
                <w:lang w:val="en-US" w:eastAsia="zh-CN"/>
              </w:rPr>
              <w:t>成果显著。</w:t>
            </w:r>
            <w:r>
              <w:rPr>
                <w:rFonts w:hint="eastAsia" w:ascii="楷体" w:hAnsi="楷体" w:eastAsia="楷体" w:cs="方正楷体简体"/>
                <w:kern w:val="0"/>
                <w:sz w:val="24"/>
                <w:lang w:val="zh-CN" w:eastAsia="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87"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6）坚持立德树人根本任务，培育德智体美劳全面发展的社会主义建设者和接班人。持续深化培育和践行社会主义核心价值观，加强教育引导、实践养成和制度保障，坚持落细落小落实，将社会主义核心价值观融入日常教育教学。深入开展爱国主义教育和新时代公民道德教育，引导大学生成为担当民族复兴大任的时代新人。（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7）加强伟大建党精神的研究、宣传、阐释和实践转化。扎实开展“党史”学习教育和“四史”宣传教育，落实理想信念教育常态化、制度化，定期报送工作成果。（1分）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6"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8）积极贯彻落实全国</w:t>
            </w:r>
            <w:r>
              <w:rPr>
                <w:rFonts w:hint="eastAsia" w:ascii="楷体" w:hAnsi="楷体" w:eastAsia="楷体" w:cs="方正楷体简体"/>
                <w:kern w:val="0"/>
                <w:sz w:val="24"/>
                <w:lang w:val="en-US" w:eastAsia="zh-CN"/>
              </w:rPr>
              <w:t>和</w:t>
            </w:r>
            <w:r>
              <w:rPr>
                <w:rFonts w:hint="eastAsia" w:ascii="楷体" w:hAnsi="楷体" w:eastAsia="楷体" w:cs="方正楷体简体"/>
                <w:kern w:val="0"/>
                <w:sz w:val="24"/>
                <w:lang w:val="zh-CN"/>
              </w:rPr>
              <w:t>上海高校思想政治工作会议精神</w:t>
            </w:r>
            <w:r>
              <w:rPr>
                <w:rFonts w:hint="eastAsia" w:ascii="楷体" w:hAnsi="楷体" w:eastAsia="楷体" w:cs="方正楷体简体"/>
                <w:kern w:val="0"/>
                <w:sz w:val="24"/>
                <w:lang w:val="en-US" w:eastAsia="zh-CN"/>
              </w:rPr>
              <w:t>及</w:t>
            </w:r>
            <w:r>
              <w:rPr>
                <w:rFonts w:hint="eastAsia" w:ascii="楷体" w:hAnsi="楷体" w:eastAsia="楷体" w:cs="方正楷体简体"/>
                <w:kern w:val="0"/>
                <w:sz w:val="24"/>
                <w:lang w:val="zh-CN"/>
              </w:rPr>
              <w:t>《上海立信会计金融学院关于进一步推进课程思政教育教学改革的实施意见》，</w:t>
            </w:r>
            <w:r>
              <w:rPr>
                <w:rFonts w:hint="eastAsia" w:ascii="楷体" w:hAnsi="楷体" w:eastAsia="楷体" w:cs="方正楷体简体"/>
                <w:kern w:val="0"/>
                <w:sz w:val="24"/>
              </w:rPr>
              <w:t>开</w:t>
            </w:r>
            <w:r>
              <w:rPr>
                <w:rFonts w:hint="eastAsia" w:ascii="楷体" w:hAnsi="楷体" w:eastAsia="楷体" w:cs="方正楷体简体"/>
                <w:kern w:val="0"/>
                <w:sz w:val="24"/>
                <w:lang w:val="zh-CN"/>
              </w:rPr>
              <w:t>展课程思政改革并有显著成果，形成富有学院特色的课程思政育人模式。（2分）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2"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9）定期开展干部师生思想动态调研或意识形态动向分析，关注师生思想动态，及时收集师生动态，及时报送。全面落实《中共上海立信会计金融学院委员会意识形态工作责任制实施办法》，提高思想政治教育针对性和有效性。（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2" w:hRule="atLeast"/>
          <w:tblHeader/>
          <w:jc w:val="center"/>
        </w:trPr>
        <w:tc>
          <w:tcPr>
            <w:tcW w:w="1640"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Ⅰ-1</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强化思想引领</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培育时代新人</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27</w:t>
            </w:r>
            <w:r>
              <w:rPr>
                <w:rFonts w:hint="eastAsia" w:ascii="楷体" w:hAnsi="楷体" w:eastAsia="楷体" w:cs="方正楷体简体"/>
                <w:kern w:val="0"/>
                <w:sz w:val="24"/>
                <w:lang w:val="zh-CN"/>
              </w:rPr>
              <w:t>分）</w:t>
            </w: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Ⅱ-3</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思政队伍</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（6分）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10）重视辅导员队伍建设工作，积极配合相关部门在辅导员队伍的日常管理、培训培养、考核激励等方面的相关工作，落实思想政治工作队伍、党务工作队伍双重身份、双线晋升政策。（2分）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11）</w:t>
            </w:r>
            <w:r>
              <w:rPr>
                <w:rFonts w:hint="eastAsia" w:ascii="楷体" w:hAnsi="楷体" w:eastAsia="楷体" w:cs="方正楷体简体"/>
                <w:kern w:val="0"/>
                <w:sz w:val="24"/>
              </w:rPr>
              <w:t>规范</w:t>
            </w:r>
            <w:r>
              <w:rPr>
                <w:rFonts w:hint="eastAsia" w:ascii="楷体" w:hAnsi="楷体" w:eastAsia="楷体" w:cs="方正楷体简体"/>
                <w:kern w:val="0"/>
                <w:sz w:val="24"/>
                <w:lang w:val="zh-CN"/>
              </w:rPr>
              <w:t>学术道德，</w:t>
            </w:r>
            <w:r>
              <w:rPr>
                <w:rFonts w:hint="eastAsia" w:ascii="楷体" w:hAnsi="楷体" w:eastAsia="楷体" w:cs="方正楷体简体"/>
                <w:kern w:val="0"/>
                <w:sz w:val="24"/>
              </w:rPr>
              <w:t>防止学术造假、学术腐败等行为，树立诚信为学典范。</w:t>
            </w:r>
            <w:r>
              <w:rPr>
                <w:rFonts w:hint="eastAsia" w:ascii="楷体" w:hAnsi="楷体" w:eastAsia="楷体" w:cs="方正楷体简体"/>
                <w:kern w:val="0"/>
                <w:sz w:val="24"/>
                <w:lang w:val="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7"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12）把师德规范要求融入人才引进、课题申报、职称评聘、导师遴选等各环节，实行“师德一票否决制”，学生</w:t>
            </w:r>
            <w:r>
              <w:rPr>
                <w:rFonts w:hint="eastAsia" w:ascii="楷体" w:hAnsi="楷体" w:eastAsia="楷体" w:cs="方正楷体简体"/>
                <w:kern w:val="0"/>
                <w:sz w:val="24"/>
              </w:rPr>
              <w:t>对师德</w:t>
            </w:r>
            <w:r>
              <w:rPr>
                <w:rFonts w:hint="eastAsia" w:ascii="楷体" w:hAnsi="楷体" w:eastAsia="楷体" w:cs="方正楷体简体"/>
                <w:kern w:val="0"/>
                <w:sz w:val="24"/>
                <w:lang w:val="zh-CN"/>
              </w:rPr>
              <w:t>满意率达到90%以上。（2分）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Ⅱ-4</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师德师风</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13）组织形式多样的师德教育主题活动，引导广大教师以德立身、以德立学、以德施教、以德育德，争做“四有”好老师。积极培育、选树、表彰和宣传师德先进典型。开展师德警示教育。（3分）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Ⅱ-5</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文明修身</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14）深入开展文明修身活动，加强广大师生的爱国主义教育和新时代公民道德教育，倡导新“七不”规范，提升广大师生文明素养。（2分）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6" w:hRule="atLeast"/>
          <w:tblHeader/>
          <w:jc w:val="center"/>
        </w:trPr>
        <w:tc>
          <w:tcPr>
            <w:tcW w:w="1640"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Ⅰ-2</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坚持党的领导</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落实主体责任</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32</w:t>
            </w:r>
            <w:r>
              <w:rPr>
                <w:rFonts w:hint="eastAsia" w:ascii="楷体" w:hAnsi="楷体" w:eastAsia="楷体" w:cs="方正楷体简体"/>
                <w:kern w:val="0"/>
                <w:sz w:val="24"/>
                <w:lang w:val="zh-CN"/>
              </w:rPr>
              <w:t>分）</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Ⅱ-6</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班子建设</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14</w:t>
            </w:r>
            <w:r>
              <w:rPr>
                <w:rFonts w:hint="eastAsia" w:ascii="楷体" w:hAnsi="楷体" w:eastAsia="楷体" w:cs="方正楷体简体"/>
                <w:kern w:val="0"/>
                <w:sz w:val="24"/>
                <w:lang w:val="zh-CN"/>
              </w:rPr>
              <w:t>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15）领导班子要带头增强“四个意识”，坚定“四个自信”，做到“两个维护”，不折不扣贯彻落实党中央各项决策部署，确保思想行动与党中央保持一致。（2分）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6"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16）坚决贯彻落实</w:t>
            </w:r>
            <w:r>
              <w:rPr>
                <w:rFonts w:hint="eastAsia" w:ascii="楷体" w:hAnsi="楷体" w:eastAsia="楷体" w:cs="方正楷体简体"/>
                <w:kern w:val="0"/>
                <w:sz w:val="24"/>
                <w:lang w:val="en-US" w:eastAsia="zh-CN"/>
              </w:rPr>
              <w:t>2023</w:t>
            </w:r>
            <w:r>
              <w:rPr>
                <w:rFonts w:hint="eastAsia" w:ascii="楷体" w:hAnsi="楷体" w:eastAsia="楷体" w:cs="方正楷体简体"/>
                <w:kern w:val="0"/>
                <w:sz w:val="24"/>
                <w:lang w:val="zh-CN"/>
              </w:rPr>
              <w:t>年学校重大方针政策，</w:t>
            </w:r>
            <w:r>
              <w:rPr>
                <w:rFonts w:hint="eastAsia" w:ascii="楷体" w:hAnsi="楷体" w:eastAsia="楷体" w:cs="方正楷体简体"/>
                <w:kern w:val="0"/>
                <w:sz w:val="24"/>
                <w:lang w:val="en-US" w:eastAsia="zh-CN"/>
              </w:rPr>
              <w:t>在</w:t>
            </w:r>
            <w:r>
              <w:rPr>
                <w:rFonts w:hint="eastAsia" w:ascii="楷体" w:hAnsi="楷体" w:eastAsia="楷体" w:cs="方正楷体简体"/>
                <w:kern w:val="0"/>
                <w:sz w:val="24"/>
                <w:lang w:val="zh-CN"/>
              </w:rPr>
              <w:t>本科教育教学审核评估迎评</w:t>
            </w:r>
            <w:r>
              <w:rPr>
                <w:rFonts w:hint="eastAsia" w:ascii="楷体" w:hAnsi="楷体" w:eastAsia="楷体" w:cs="方正楷体简体"/>
                <w:kern w:val="0"/>
                <w:sz w:val="24"/>
                <w:lang w:val="en-US" w:eastAsia="zh-CN"/>
              </w:rPr>
              <w:t>促建工作中全力以赴，争取佳绩</w:t>
            </w:r>
            <w:r>
              <w:rPr>
                <w:rFonts w:hint="eastAsia" w:ascii="楷体" w:hAnsi="楷体" w:eastAsia="楷体" w:cs="方正楷体简体"/>
                <w:kern w:val="0"/>
                <w:sz w:val="24"/>
                <w:lang w:val="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17）坚持全面从严治党，落实“四责协同”机制</w:t>
            </w:r>
            <w:r>
              <w:rPr>
                <w:rFonts w:hint="eastAsia" w:ascii="楷体" w:hAnsi="楷体" w:eastAsia="楷体" w:cs="方正楷体简体"/>
                <w:kern w:val="0"/>
                <w:sz w:val="24"/>
                <w:lang w:val="en-US" w:eastAsia="zh-CN"/>
              </w:rPr>
              <w:t>及</w:t>
            </w:r>
            <w:r>
              <w:rPr>
                <w:rFonts w:hint="eastAsia" w:ascii="楷体" w:hAnsi="楷体" w:eastAsia="楷体" w:cs="方正楷体简体"/>
                <w:kern w:val="0"/>
                <w:sz w:val="24"/>
              </w:rPr>
              <w:t>“三大主体责任制”</w:t>
            </w:r>
            <w:r>
              <w:rPr>
                <w:rFonts w:hint="eastAsia" w:ascii="楷体" w:hAnsi="楷体" w:eastAsia="楷体" w:cs="方正楷体简体"/>
                <w:kern w:val="0"/>
                <w:sz w:val="24"/>
                <w:lang w:val="zh-CN"/>
              </w:rPr>
              <w:t>。落实巡察及班子民主生活会提出的整改任务。（2分）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8"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18）建立</w:t>
            </w:r>
            <w:r>
              <w:rPr>
                <w:rFonts w:hint="eastAsia" w:ascii="楷体" w:hAnsi="楷体" w:eastAsia="楷体" w:cs="方正楷体简体"/>
                <w:kern w:val="0"/>
                <w:sz w:val="24"/>
                <w:lang w:val="en-US" w:eastAsia="zh-CN"/>
              </w:rPr>
              <w:t>学院</w:t>
            </w:r>
            <w:r>
              <w:rPr>
                <w:rFonts w:hint="eastAsia" w:ascii="楷体" w:hAnsi="楷体" w:eastAsia="楷体" w:cs="方正楷体简体"/>
                <w:kern w:val="0"/>
                <w:sz w:val="24"/>
                <w:lang w:val="zh-CN"/>
              </w:rPr>
              <w:t>班子成员联系和服务师生员工的制度，健全联系点、讲课听课、调查研究、谈心谈话接待等机制。（</w:t>
            </w:r>
            <w:r>
              <w:rPr>
                <w:rFonts w:hint="eastAsia" w:ascii="楷体" w:hAnsi="楷体" w:eastAsia="楷体" w:cs="方正楷体简体"/>
                <w:kern w:val="0"/>
                <w:sz w:val="24"/>
                <w:lang w:val="en-US" w:eastAsia="zh-CN"/>
              </w:rPr>
              <w:t>2</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6"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19）</w:t>
            </w:r>
            <w:r>
              <w:rPr>
                <w:rFonts w:hint="eastAsia" w:ascii="楷体" w:hAnsi="楷体" w:eastAsia="楷体" w:cs="方正楷体简体"/>
                <w:kern w:val="0"/>
                <w:sz w:val="24"/>
              </w:rPr>
              <w:t>严格落</w:t>
            </w:r>
            <w:r>
              <w:rPr>
                <w:rFonts w:hint="eastAsia" w:ascii="楷体" w:hAnsi="楷体" w:eastAsia="楷体" w:cs="方正楷体简体"/>
                <w:kern w:val="0"/>
                <w:sz w:val="24"/>
                <w:lang w:val="zh-CN"/>
              </w:rPr>
              <w:t>实《</w:t>
            </w:r>
            <w:r>
              <w:rPr>
                <w:rFonts w:hint="default" w:ascii="楷体" w:hAnsi="楷体" w:eastAsia="楷体" w:cs="方正楷体简体"/>
                <w:kern w:val="0"/>
                <w:sz w:val="24"/>
                <w:lang w:val="en-US" w:eastAsia="zh-CN"/>
              </w:rPr>
              <w:t>中共上海立信会计金融学院委员会关于完善二级学院党政联席会议制度的办法（试行）</w:t>
            </w:r>
            <w:r>
              <w:rPr>
                <w:rFonts w:hint="eastAsia" w:ascii="楷体" w:hAnsi="楷体" w:eastAsia="楷体" w:cs="方正楷体简体"/>
                <w:kern w:val="0"/>
                <w:sz w:val="24"/>
                <w:lang w:val="zh-CN"/>
              </w:rPr>
              <w:t>》</w:t>
            </w:r>
            <w:r>
              <w:rPr>
                <w:rFonts w:hint="eastAsia" w:ascii="楷体" w:hAnsi="楷体" w:eastAsia="楷体" w:cs="方正楷体简体"/>
                <w:kern w:val="0"/>
                <w:sz w:val="24"/>
                <w:lang w:val="zh-CN" w:eastAsia="zh-CN"/>
              </w:rPr>
              <w:t>，</w:t>
            </w:r>
            <w:r>
              <w:rPr>
                <w:rFonts w:hint="eastAsia" w:ascii="楷体" w:hAnsi="楷体" w:eastAsia="楷体" w:cs="方正楷体简体"/>
                <w:kern w:val="0"/>
                <w:sz w:val="24"/>
                <w:lang w:val="zh-CN"/>
              </w:rPr>
              <w:t>保证党政联席会议讨论决定</w:t>
            </w:r>
            <w:r>
              <w:rPr>
                <w:rFonts w:hint="eastAsia" w:ascii="楷体" w:hAnsi="楷体" w:eastAsia="楷体" w:cs="方正楷体简体"/>
                <w:kern w:val="0"/>
                <w:sz w:val="24"/>
                <w:lang w:val="en-US" w:eastAsia="zh-CN"/>
              </w:rPr>
              <w:t>学院</w:t>
            </w:r>
            <w:r>
              <w:rPr>
                <w:rFonts w:hint="eastAsia" w:ascii="楷体" w:hAnsi="楷体" w:eastAsia="楷体" w:cs="方正楷体简体"/>
                <w:kern w:val="0"/>
                <w:sz w:val="24"/>
                <w:lang w:val="zh-CN"/>
              </w:rPr>
              <w:t>重要事项。党组织会议研究决定党的建设工作。涉及办学方向、教师队伍建设、师生员工切身利益等事项，经党组织研究讨论后，再提交党政联席会议决定。实行党政班子成员交叉任职。（2分）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20）严把干部选任的政治关、品行关、作风关、廉洁关，严格干部选拔任用程序，严格规范干部教育、培训、选拔、考核和监督等制度。（2分）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textAlignment w:val="cente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textAlignment w:val="cente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21）坚持党对人才工作的全面领导，营造识才爱才敬才用才的环境，全方位培养引进用好人才，并强化人才的政治引领，激发各级各类人才的创新创造活力，助推上海高水平人才高地建设。（2分）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3" w:hRule="atLeast"/>
          <w:tblHeader/>
          <w:jc w:val="center"/>
        </w:trPr>
        <w:tc>
          <w:tcPr>
            <w:tcW w:w="1640" w:type="dxa"/>
            <w:vMerge w:val="restart"/>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Ⅰ-2</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坚持党的领导</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落实主体责任</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32</w:t>
            </w:r>
            <w:r>
              <w:rPr>
                <w:rFonts w:hint="eastAsia" w:ascii="楷体" w:hAnsi="楷体" w:eastAsia="楷体" w:cs="方正楷体简体"/>
                <w:kern w:val="0"/>
                <w:sz w:val="24"/>
                <w:lang w:val="zh-CN"/>
              </w:rPr>
              <w:t>分）</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Ⅱ-7</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基层党建</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7</w:t>
            </w:r>
            <w:r>
              <w:rPr>
                <w:rFonts w:hint="eastAsia" w:ascii="楷体" w:hAnsi="楷体" w:eastAsia="楷体" w:cs="方正楷体简体"/>
                <w:kern w:val="0"/>
                <w:sz w:val="24"/>
                <w:lang w:val="zh-CN"/>
              </w:rPr>
              <w:t>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22）强化基层党支部的“政治堡垒”作用，履行政治责任，党组织设置合理、履责到位。党支部书记选优配强，教师党支部书记“双带头人”基本覆盖。基层党组织按时换届。（2分）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6"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23）严肃党内政治生活，严格执行“三会一课”等组织生活制度，常态化扎实开展党史学习教育和“四史”宣传教育，建立“不忘初心、牢记使命”主题教育长效机制，学习贯彻习近平新时代中国特色社会主义思想主题教育。（</w:t>
            </w:r>
            <w:r>
              <w:rPr>
                <w:rFonts w:hint="eastAsia" w:ascii="楷体" w:hAnsi="楷体" w:eastAsia="楷体" w:cs="方正楷体简体"/>
                <w:kern w:val="0"/>
                <w:sz w:val="24"/>
                <w:lang w:val="en-US" w:eastAsia="zh-CN"/>
              </w:rPr>
              <w:t>2</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24）做好党员发展工作，坚持把政治标准放在首位，重视对入党积极分子的教育、培养和考察，优先在高次人才、优秀青年教师和优秀学生等群体中发展党员。强化党员日常教育和管理，发挥党员先锋模范作用。（</w:t>
            </w:r>
            <w:r>
              <w:rPr>
                <w:rFonts w:hint="eastAsia" w:ascii="楷体" w:hAnsi="楷体" w:eastAsia="楷体" w:cs="方正楷体简体"/>
                <w:kern w:val="0"/>
                <w:sz w:val="24"/>
                <w:lang w:val="en-US" w:eastAsia="zh-CN"/>
              </w:rPr>
              <w:t>2</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1" w:hRule="exac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25）落实党务公开制度。保障党员知情权、参与权、选举权、监督权。（1分）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Ⅱ-8</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管党治党</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26）深化细化全面从严治党“四责协同”机制，落实“四书四会三报告”制度。（2分）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27）严格落实中央“八项规定”精神，纠治“四风”，经常开展反腐倡廉宣传教育，落实廉洁文化进校园。（1分）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28）师生员工反映情况、表达诉求渠道畅通。对信访举报和违规违纪问题等上报及时，并积极配合学校开展相关调查。（1分）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0" w:hRule="atLeast"/>
          <w:tblHeader/>
          <w:jc w:val="center"/>
        </w:trPr>
        <w:tc>
          <w:tcPr>
            <w:tcW w:w="1640"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Ⅰ-2</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坚持党的领导</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落实主体责任（</w:t>
            </w:r>
            <w:r>
              <w:rPr>
                <w:rFonts w:hint="eastAsia" w:ascii="楷体" w:hAnsi="楷体" w:eastAsia="楷体" w:cs="方正楷体简体"/>
                <w:kern w:val="0"/>
                <w:sz w:val="24"/>
                <w:lang w:val="en-US" w:eastAsia="zh-CN"/>
              </w:rPr>
              <w:t>32</w:t>
            </w:r>
            <w:r>
              <w:rPr>
                <w:rFonts w:hint="eastAsia" w:ascii="楷体" w:hAnsi="楷体" w:eastAsia="楷体" w:cs="方正楷体简体"/>
                <w:kern w:val="0"/>
                <w:sz w:val="24"/>
                <w:lang w:val="zh-CN"/>
              </w:rPr>
              <w:t>分）</w:t>
            </w: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eastAsia="zh-CN"/>
              </w:rPr>
            </w:pPr>
            <w:r>
              <w:rPr>
                <w:rFonts w:hint="eastAsia" w:ascii="楷体" w:hAnsi="楷体" w:eastAsia="楷体" w:cs="方正楷体简体"/>
                <w:kern w:val="0"/>
                <w:sz w:val="24"/>
                <w:lang w:val="zh-CN" w:eastAsia="zh-CN"/>
              </w:rPr>
              <w:t>Ⅱ-9</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eastAsia="zh-CN"/>
              </w:rPr>
            </w:pPr>
            <w:r>
              <w:rPr>
                <w:rFonts w:hint="eastAsia" w:ascii="楷体" w:hAnsi="楷体" w:eastAsia="楷体" w:cs="方正楷体简体"/>
                <w:kern w:val="0"/>
                <w:sz w:val="24"/>
                <w:lang w:val="zh-CN" w:eastAsia="zh-CN"/>
              </w:rPr>
              <w:t>意识形态</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eastAsia="zh-CN"/>
              </w:rPr>
              <w:t>（</w:t>
            </w:r>
            <w:r>
              <w:rPr>
                <w:rFonts w:hint="eastAsia" w:ascii="楷体" w:hAnsi="楷体" w:eastAsia="楷体" w:cs="方正楷体简体"/>
                <w:kern w:val="0"/>
                <w:sz w:val="24"/>
                <w:lang w:val="en-US" w:eastAsia="zh-CN"/>
              </w:rPr>
              <w:t>3</w:t>
            </w:r>
            <w:r>
              <w:rPr>
                <w:rFonts w:hint="eastAsia" w:ascii="楷体" w:hAnsi="楷体" w:eastAsia="楷体" w:cs="方正楷体简体"/>
                <w:kern w:val="0"/>
                <w:sz w:val="24"/>
                <w:lang w:val="zh-CN" w:eastAsia="zh-CN"/>
              </w:rPr>
              <w:t>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29）强化党管宣传、党管意识形态，牢牢掌握意识形态工作的领导权主动权。（</w:t>
            </w:r>
            <w:r>
              <w:rPr>
                <w:rFonts w:hint="eastAsia" w:ascii="楷体" w:hAnsi="楷体" w:eastAsia="楷体" w:cs="方正楷体简体"/>
                <w:kern w:val="0"/>
                <w:sz w:val="24"/>
                <w:lang w:val="en-US" w:eastAsia="zh-CN"/>
              </w:rPr>
              <w:t>1</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30）</w:t>
            </w:r>
            <w:r>
              <w:rPr>
                <w:rFonts w:hint="eastAsia" w:ascii="楷体" w:hAnsi="楷体" w:eastAsia="楷体" w:cs="方正楷体简体"/>
                <w:kern w:val="0"/>
                <w:sz w:val="24"/>
                <w:lang w:val="en-US" w:eastAsia="zh-CN"/>
              </w:rPr>
              <w:t>严格管理所涉各类</w:t>
            </w:r>
            <w:r>
              <w:rPr>
                <w:rFonts w:hint="eastAsia" w:ascii="楷体" w:hAnsi="楷体" w:eastAsia="楷体" w:cs="方正楷体简体"/>
                <w:kern w:val="0"/>
                <w:sz w:val="24"/>
                <w:lang w:val="zh-CN"/>
              </w:rPr>
              <w:t>媒体</w:t>
            </w:r>
            <w:r>
              <w:rPr>
                <w:rFonts w:hint="eastAsia" w:ascii="楷体" w:hAnsi="楷体" w:eastAsia="楷体" w:cs="方正楷体简体"/>
                <w:kern w:val="0"/>
                <w:sz w:val="24"/>
                <w:lang w:val="en-US" w:eastAsia="zh-CN"/>
              </w:rPr>
              <w:t>平台</w:t>
            </w: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对举办的各类</w:t>
            </w:r>
            <w:r>
              <w:rPr>
                <w:rFonts w:hint="eastAsia" w:ascii="楷体" w:hAnsi="楷体" w:eastAsia="楷体" w:cs="方正楷体简体"/>
                <w:kern w:val="0"/>
                <w:sz w:val="24"/>
                <w:lang w:val="zh-CN"/>
              </w:rPr>
              <w:t>论坛、讲坛、讲座、报告会、研讨会</w:t>
            </w:r>
            <w:r>
              <w:rPr>
                <w:rFonts w:hint="eastAsia" w:ascii="楷体" w:hAnsi="楷体" w:eastAsia="楷体" w:cs="方正楷体简体"/>
                <w:kern w:val="0"/>
                <w:sz w:val="24"/>
                <w:lang w:val="en-US" w:eastAsia="zh-CN"/>
              </w:rPr>
              <w:t>等严格把关、及时上报，对</w:t>
            </w:r>
            <w:r>
              <w:rPr>
                <w:rFonts w:hint="eastAsia" w:ascii="楷体" w:hAnsi="楷体" w:eastAsia="楷体" w:cs="方正楷体简体"/>
                <w:kern w:val="0"/>
                <w:sz w:val="24"/>
                <w:lang w:val="zh-CN"/>
              </w:rPr>
              <w:t>出版物和各类教材等</w:t>
            </w:r>
            <w:r>
              <w:rPr>
                <w:rFonts w:hint="eastAsia" w:ascii="楷体" w:hAnsi="楷体" w:eastAsia="楷体" w:cs="方正楷体简体"/>
                <w:kern w:val="0"/>
                <w:sz w:val="24"/>
                <w:lang w:val="en-US" w:eastAsia="zh-CN"/>
              </w:rPr>
              <w:t>严格审核</w:t>
            </w:r>
            <w:r>
              <w:rPr>
                <w:rFonts w:hint="eastAsia" w:ascii="楷体" w:hAnsi="楷体" w:eastAsia="楷体" w:cs="方正楷体简体"/>
                <w:kern w:val="0"/>
                <w:sz w:val="24"/>
                <w:lang w:val="zh-CN"/>
              </w:rPr>
              <w:t>，把握意识形态阵地的正确思想舆论导向。（2分）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atLeast"/>
          <w:tblHeader/>
          <w:jc w:val="center"/>
        </w:trPr>
        <w:tc>
          <w:tcPr>
            <w:tcW w:w="1640" w:type="dxa"/>
            <w:vMerge w:val="continue"/>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Ⅱ-10</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统战、</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离退休</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32）贯彻落实学校统战工作要点，积极配合学校党委统战部完成对党外知识分子的政治引领，引导党外人士发挥优势作用等相关工作。协助有关部门做好少数民族师生工作学习与港澳台侨学生教育服务工作，抵御宗教渗透和防范校园传教工作。（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2"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33）关心退休职工，积极组织退休职工开展活动。积极贯彻落实《中共上海立信会计金融学院委员会关于加强关工委工作实施办法》，发挥离退休干部在关心下一代工作中的作用。（1分）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4"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113" w:type="dxa"/>
              <w:left w:w="0" w:type="dxa"/>
              <w:bottom w:w="11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Ⅱ-11</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群团工作</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（2分）</w:t>
            </w: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34）不断加强学院工会内涵建设，积极创建“教工小家”。配合学校完成教职工暑假疗休养及体检制度，丰富教职工文体活动，保障女职工权益。（</w:t>
            </w:r>
            <w:r>
              <w:rPr>
                <w:rFonts w:hint="eastAsia" w:ascii="楷体" w:hAnsi="楷体" w:eastAsia="楷体" w:cs="方正楷体简体"/>
                <w:kern w:val="0"/>
                <w:sz w:val="24"/>
                <w:lang w:val="en-US" w:eastAsia="zh-CN"/>
              </w:rPr>
              <w:t>1</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5" w:hRule="atLeast"/>
          <w:tblHeader/>
          <w:jc w:val="center"/>
        </w:trPr>
        <w:tc>
          <w:tcPr>
            <w:tcW w:w="1640"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13" w:type="dxa"/>
              <w:left w:w="0" w:type="dxa"/>
              <w:bottom w:w="113"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13" w:type="dxa"/>
              <w:left w:w="113" w:type="dxa"/>
              <w:bottom w:w="11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35）</w:t>
            </w:r>
            <w:r>
              <w:rPr>
                <w:rFonts w:hint="eastAsia" w:ascii="楷体" w:hAnsi="楷体" w:eastAsia="楷体" w:cs="方正楷体简体"/>
                <w:kern w:val="0"/>
                <w:sz w:val="24"/>
              </w:rPr>
              <w:t>团学组织积极落实学院党组织和上级团组织的要求。团干部队伍建设有计划、有措施，工作形式多样，发挥好共青团在大学生思想、文化教育方面的引领作用。</w:t>
            </w:r>
            <w:r>
              <w:rPr>
                <w:rFonts w:hint="eastAsia" w:ascii="楷体" w:hAnsi="楷体" w:eastAsia="楷体" w:cs="方正楷体简体"/>
                <w:kern w:val="0"/>
                <w:sz w:val="24"/>
                <w:lang w:val="zh-CN"/>
              </w:rPr>
              <w:t>青年教师和学生参与度高。（</w:t>
            </w:r>
            <w:r>
              <w:rPr>
                <w:rFonts w:hint="eastAsia" w:ascii="楷体" w:hAnsi="楷体" w:eastAsia="楷体" w:cs="方正楷体简体"/>
                <w:kern w:val="0"/>
                <w:sz w:val="24"/>
                <w:lang w:val="en-US" w:eastAsia="zh-CN"/>
              </w:rPr>
              <w:t>1</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9" w:hRule="atLeast"/>
          <w:tblHeader/>
          <w:jc w:val="center"/>
        </w:trPr>
        <w:tc>
          <w:tcPr>
            <w:tcW w:w="1640" w:type="dxa"/>
            <w:vMerge w:val="restart"/>
            <w:shd w:val="clear" w:color="auto" w:fill="auto"/>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Ⅰ-3</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强化教育教学</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提升办学质量</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（1</w:t>
            </w:r>
            <w:r>
              <w:rPr>
                <w:rFonts w:hint="eastAsia" w:ascii="楷体" w:hAnsi="楷体" w:eastAsia="楷体" w:cs="方正楷体简体"/>
                <w:kern w:val="0"/>
                <w:sz w:val="24"/>
                <w:lang w:val="en-US" w:eastAsia="zh-CN"/>
              </w:rPr>
              <w:t>8</w:t>
            </w:r>
            <w:r>
              <w:rPr>
                <w:rFonts w:hint="eastAsia" w:ascii="楷体" w:hAnsi="楷体" w:eastAsia="楷体" w:cs="方正楷体简体"/>
                <w:kern w:val="0"/>
                <w:sz w:val="24"/>
                <w:lang w:val="zh-CN"/>
              </w:rPr>
              <w:t>分）</w:t>
            </w:r>
          </w:p>
        </w:tc>
        <w:tc>
          <w:tcPr>
            <w:tcW w:w="1049" w:type="dxa"/>
            <w:vMerge w:val="restart"/>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Ⅱ-12</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内部治理</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（8分）</w:t>
            </w: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36）</w:t>
            </w:r>
            <w:r>
              <w:rPr>
                <w:rFonts w:hint="eastAsia" w:ascii="楷体" w:hAnsi="楷体" w:eastAsia="楷体" w:cs="方正楷体简体"/>
                <w:spacing w:val="-3"/>
                <w:kern w:val="0"/>
                <w:sz w:val="24"/>
                <w:lang w:val="zh-CN"/>
              </w:rPr>
              <w:t>对标学校“十</w:t>
            </w:r>
            <w:r>
              <w:rPr>
                <w:rFonts w:hint="eastAsia" w:ascii="楷体" w:hAnsi="楷体" w:eastAsia="楷体" w:cs="方正楷体简体"/>
                <w:spacing w:val="-3"/>
                <w:kern w:val="0"/>
                <w:sz w:val="24"/>
                <w:lang w:val="en-US" w:eastAsia="zh-CN"/>
              </w:rPr>
              <w:t>四</w:t>
            </w:r>
            <w:r>
              <w:rPr>
                <w:rFonts w:hint="eastAsia" w:ascii="楷体" w:hAnsi="楷体" w:eastAsia="楷体" w:cs="方正楷体简体"/>
                <w:spacing w:val="-3"/>
                <w:kern w:val="0"/>
                <w:sz w:val="24"/>
                <w:lang w:val="zh-CN"/>
              </w:rPr>
              <w:t>五”发展规划，聚焦主要目标任务，集中抓落实。服从学校发展大局和学校整体安排，推进建章立制，并根据上级最新政策制度，及时调整和完善现有相关制度规章。（2分）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37）教授治学制度健全，学术委员会有效履行学术事务的决策、审议、评定和咨询功能。（2分）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38）落实教代会等民主管理制度。教职工通过教代会行使民主管理和监督权利，对</w:t>
            </w:r>
            <w:r>
              <w:rPr>
                <w:rFonts w:hint="eastAsia" w:ascii="楷体" w:hAnsi="楷体" w:eastAsia="楷体" w:cs="方正楷体简体"/>
                <w:kern w:val="0"/>
                <w:sz w:val="24"/>
                <w:lang w:val="en-US" w:eastAsia="zh-CN"/>
              </w:rPr>
              <w:t>学院</w:t>
            </w:r>
            <w:r>
              <w:rPr>
                <w:rFonts w:hint="eastAsia" w:ascii="楷体" w:hAnsi="楷体" w:eastAsia="楷体" w:cs="方正楷体简体"/>
                <w:kern w:val="0"/>
                <w:sz w:val="24"/>
                <w:lang w:val="zh-CN"/>
              </w:rPr>
              <w:t>重大改革发展事项进行审议，对与教职工利益直接相关的重要事项建言献策，民主评议</w:t>
            </w:r>
            <w:r>
              <w:rPr>
                <w:rFonts w:hint="eastAsia" w:ascii="楷体" w:hAnsi="楷体" w:eastAsia="楷体" w:cs="方正楷体简体"/>
                <w:kern w:val="0"/>
                <w:sz w:val="24"/>
                <w:lang w:val="en-US" w:eastAsia="zh-CN"/>
              </w:rPr>
              <w:t>学院</w:t>
            </w:r>
            <w:r>
              <w:rPr>
                <w:rFonts w:hint="eastAsia" w:ascii="楷体" w:hAnsi="楷体" w:eastAsia="楷体" w:cs="方正楷体简体"/>
                <w:kern w:val="0"/>
                <w:sz w:val="24"/>
                <w:lang w:val="zh-CN"/>
              </w:rPr>
              <w:t>领导干部。（1分）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Header/>
          <w:jc w:val="center"/>
        </w:trPr>
        <w:tc>
          <w:tcPr>
            <w:tcW w:w="1640" w:type="dxa"/>
            <w:vMerge w:val="continue"/>
            <w:shd w:val="clear" w:color="auto" w:fill="auto"/>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39）学生会（研究生会）发挥自我教育、管理、服务作用，保障学生参与学校民主管理和维护权益。（1分）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40）</w:t>
            </w:r>
            <w:r>
              <w:rPr>
                <w:rFonts w:hint="eastAsia" w:ascii="楷体" w:hAnsi="楷体" w:eastAsia="楷体" w:cs="方正楷体简体"/>
                <w:spacing w:val="-3"/>
                <w:kern w:val="0"/>
                <w:sz w:val="24"/>
                <w:lang w:val="zh-CN"/>
              </w:rPr>
              <w:t>专业建设规划合理，执行情况良好；专业设置符合办学定位；专业建设具有内涵和特色；全力争取一流本科项目。</w:t>
            </w:r>
            <w:r>
              <w:rPr>
                <w:rFonts w:hint="eastAsia" w:ascii="楷体" w:hAnsi="楷体" w:eastAsia="楷体" w:cs="方正楷体简体"/>
                <w:kern w:val="0"/>
                <w:sz w:val="24"/>
                <w:lang w:val="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6" w:hRule="atLeast"/>
          <w:tblHeader/>
          <w:jc w:val="center"/>
        </w:trPr>
        <w:tc>
          <w:tcPr>
            <w:tcW w:w="1640" w:type="dxa"/>
            <w:vMerge w:val="continue"/>
            <w:shd w:val="clear" w:color="auto" w:fill="auto"/>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Ⅱ-13</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教学科研</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4</w:t>
            </w:r>
            <w:r>
              <w:rPr>
                <w:rFonts w:hint="eastAsia" w:ascii="楷体" w:hAnsi="楷体" w:eastAsia="楷体" w:cs="方正楷体简体"/>
                <w:kern w:val="0"/>
                <w:sz w:val="24"/>
                <w:lang w:val="zh-CN"/>
              </w:rPr>
              <w:t>分）</w:t>
            </w: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41）落实以教学为中心，有资源配置、质量监控、工作评价和教学事故处理等制度保障，教授、副教授为本科生上课达到90%以上。（2分）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tcPr>
          <w:p>
            <w:pPr>
              <w:autoSpaceDE w:val="0"/>
              <w:autoSpaceDN w:val="0"/>
              <w:adjustRightInd w:val="0"/>
              <w:spacing w:line="276" w:lineRule="auto"/>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42）推进高水平学科和专业建设。完善产学研合作和协同创新机制，发挥好智库等决策咨询机构，服务国家战略和上海城市改革创新发展。（2分）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Ⅱ-14</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学生工作</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6</w:t>
            </w:r>
            <w:r>
              <w:rPr>
                <w:rFonts w:hint="eastAsia" w:ascii="楷体" w:hAnsi="楷体" w:eastAsia="楷体" w:cs="方正楷体简体"/>
                <w:kern w:val="0"/>
                <w:sz w:val="24"/>
                <w:lang w:val="zh-CN"/>
              </w:rPr>
              <w:t>分）</w:t>
            </w: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w:t>
            </w:r>
            <w:r>
              <w:rPr>
                <w:rFonts w:hint="eastAsia" w:ascii="楷体" w:hAnsi="楷体" w:eastAsia="楷体" w:cs="方正楷体简体"/>
                <w:kern w:val="0"/>
                <w:sz w:val="24"/>
                <w:lang w:val="en-US" w:eastAsia="zh-CN"/>
              </w:rPr>
              <w:t>3</w:t>
            </w:r>
            <w:r>
              <w:rPr>
                <w:rFonts w:hint="eastAsia" w:ascii="楷体" w:hAnsi="楷体" w:eastAsia="楷体" w:cs="方正楷体简体"/>
                <w:kern w:val="0"/>
                <w:sz w:val="24"/>
                <w:lang w:val="zh-CN"/>
              </w:rPr>
              <w:t>）</w:t>
            </w:r>
            <w:r>
              <w:rPr>
                <w:rFonts w:hint="eastAsia" w:ascii="楷体" w:hAnsi="楷体" w:eastAsia="楷体" w:cs="方正楷体简体"/>
                <w:kern w:val="0"/>
                <w:sz w:val="24"/>
              </w:rPr>
              <w:t>牢固树立“以学生发展为中心”的观念，进一步明确“立德树人”的根本任务，</w:t>
            </w:r>
            <w:r>
              <w:rPr>
                <w:rFonts w:hint="eastAsia" w:ascii="楷体" w:hAnsi="楷体" w:eastAsia="楷体" w:cs="方正楷体简体"/>
                <w:kern w:val="0"/>
                <w:sz w:val="24"/>
                <w:lang w:val="zh-CN"/>
              </w:rPr>
              <w:t>落实“六环节、六目标”诚信教育体系，</w:t>
            </w:r>
            <w:r>
              <w:rPr>
                <w:rFonts w:hint="eastAsia" w:ascii="楷体" w:hAnsi="楷体" w:eastAsia="楷体" w:cs="方正楷体简体"/>
                <w:kern w:val="0"/>
                <w:sz w:val="24"/>
              </w:rPr>
              <w:t>开展文明班级、文明宿舍创建和诚信</w:t>
            </w:r>
            <w:r>
              <w:rPr>
                <w:rFonts w:hint="eastAsia" w:ascii="楷体" w:hAnsi="楷体" w:eastAsia="楷体" w:cs="方正楷体简体"/>
                <w:kern w:val="0"/>
                <w:sz w:val="24"/>
                <w:lang w:val="zh-CN"/>
              </w:rPr>
              <w:t>教育。学风建设有计划、有措施、</w:t>
            </w:r>
            <w:r>
              <w:rPr>
                <w:rFonts w:hint="eastAsia" w:ascii="楷体" w:hAnsi="楷体" w:eastAsia="楷体" w:cs="方正楷体简体"/>
                <w:kern w:val="0"/>
                <w:sz w:val="24"/>
              </w:rPr>
              <w:t>有成效</w:t>
            </w:r>
            <w:r>
              <w:rPr>
                <w:rFonts w:hint="eastAsia" w:ascii="楷体" w:hAnsi="楷体" w:eastAsia="楷体" w:cs="方正楷体简体"/>
                <w:kern w:val="0"/>
                <w:sz w:val="24"/>
                <w:lang w:val="zh-CN"/>
              </w:rPr>
              <w:t>，争创校级优良学风班。（1分）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w:t>
            </w:r>
            <w:r>
              <w:rPr>
                <w:rFonts w:hint="eastAsia" w:ascii="楷体" w:hAnsi="楷体" w:eastAsia="楷体" w:cs="方正楷体简体"/>
                <w:kern w:val="0"/>
                <w:sz w:val="24"/>
                <w:lang w:val="en-US" w:eastAsia="zh-CN"/>
              </w:rPr>
              <w:t>4</w:t>
            </w:r>
            <w:r>
              <w:rPr>
                <w:rFonts w:hint="eastAsia" w:ascii="楷体" w:hAnsi="楷体" w:eastAsia="楷体" w:cs="方正楷体简体"/>
                <w:kern w:val="0"/>
                <w:sz w:val="24"/>
                <w:lang w:val="zh-CN"/>
              </w:rPr>
              <w:t>）加强网络育人平台建设，</w:t>
            </w:r>
            <w:r>
              <w:rPr>
                <w:rFonts w:hint="eastAsia" w:ascii="楷体" w:hAnsi="楷体" w:eastAsia="楷体" w:cs="方正楷体简体"/>
                <w:kern w:val="0"/>
                <w:sz w:val="24"/>
                <w:lang w:val="en-US" w:eastAsia="zh-CN"/>
              </w:rPr>
              <w:t>充分利用易班等网络育人平台，</w:t>
            </w:r>
            <w:r>
              <w:rPr>
                <w:rFonts w:hint="eastAsia" w:ascii="楷体" w:hAnsi="楷体" w:eastAsia="楷体" w:cs="方正楷体简体"/>
                <w:kern w:val="0"/>
                <w:sz w:val="24"/>
                <w:lang w:val="zh-CN"/>
              </w:rPr>
              <w:t>强化育人内容供给和载体创新、技术支撑。开展网络思想文化建设和网络文明素养教育。(1分)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w:t>
            </w:r>
            <w:r>
              <w:rPr>
                <w:rFonts w:hint="eastAsia" w:ascii="楷体" w:hAnsi="楷体" w:eastAsia="楷体" w:cs="方正楷体简体"/>
                <w:kern w:val="0"/>
                <w:sz w:val="24"/>
                <w:lang w:val="en-US" w:eastAsia="zh-CN"/>
              </w:rPr>
              <w:t>5</w:t>
            </w:r>
            <w:r>
              <w:rPr>
                <w:rFonts w:hint="eastAsia" w:ascii="楷体" w:hAnsi="楷体" w:eastAsia="楷体" w:cs="方正楷体简体"/>
                <w:kern w:val="0"/>
                <w:sz w:val="24"/>
                <w:lang w:val="zh-CN"/>
              </w:rPr>
              <w:t>）重视学生的心理健康教育，落实学校心理健康教育建设相关规定，学院相应有工作网络和心理危机预警干预机制，配合做好新生心理健康普查和学生心理档案。（</w:t>
            </w:r>
            <w:r>
              <w:rPr>
                <w:rFonts w:hint="eastAsia" w:ascii="楷体" w:hAnsi="楷体" w:eastAsia="楷体" w:cs="方正楷体简体"/>
                <w:kern w:val="0"/>
                <w:sz w:val="24"/>
                <w:lang w:val="en-US" w:eastAsia="zh-CN"/>
              </w:rPr>
              <w:t>2</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130" w:type="dxa"/>
              <w:left w:w="0" w:type="dxa"/>
              <w:bottom w:w="130" w:type="dxa"/>
              <w:right w:w="0" w:type="dxa"/>
            </w:tcMa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4</w:t>
            </w:r>
            <w:r>
              <w:rPr>
                <w:rFonts w:hint="eastAsia" w:ascii="楷体" w:hAnsi="楷体" w:eastAsia="楷体" w:cs="方正楷体简体"/>
                <w:kern w:val="0"/>
                <w:sz w:val="24"/>
                <w:lang w:val="en-US" w:eastAsia="zh-CN"/>
              </w:rPr>
              <w:t>6</w:t>
            </w:r>
            <w:r>
              <w:rPr>
                <w:rFonts w:hint="eastAsia" w:ascii="楷体" w:hAnsi="楷体" w:eastAsia="楷体" w:cs="方正楷体简体"/>
                <w:kern w:val="0"/>
                <w:sz w:val="24"/>
                <w:lang w:val="zh-CN"/>
              </w:rPr>
              <w:t>）学生就业与创新创业教育形成体系，取得新成果。经济困难学生就业率不低于学院平均水平。鼓励和引导毕业生到基层和西部就业政策落实。学生资助制度健全，措施落实，学院无学生因贫困辍学。（</w:t>
            </w:r>
            <w:r>
              <w:rPr>
                <w:rFonts w:hint="eastAsia" w:ascii="楷体" w:hAnsi="楷体" w:eastAsia="楷体" w:cs="方正楷体简体"/>
                <w:kern w:val="0"/>
                <w:sz w:val="24"/>
                <w:lang w:val="en-US" w:eastAsia="zh-CN"/>
              </w:rPr>
              <w:t>2</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0" w:hRule="atLeast"/>
          <w:tblHeader/>
          <w:jc w:val="center"/>
        </w:trPr>
        <w:tc>
          <w:tcPr>
            <w:tcW w:w="1640" w:type="dxa"/>
            <w:vMerge w:val="restart"/>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Ⅰ-4</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丰富校园文化</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打造特色品牌</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3</w:t>
            </w:r>
            <w:r>
              <w:rPr>
                <w:rFonts w:hint="eastAsia" w:ascii="楷体" w:hAnsi="楷体" w:eastAsia="楷体" w:cs="方正楷体简体"/>
                <w:kern w:val="0"/>
                <w:sz w:val="24"/>
                <w:lang w:val="zh-CN"/>
              </w:rPr>
              <w:t>分）</w:t>
            </w:r>
          </w:p>
        </w:tc>
        <w:tc>
          <w:tcPr>
            <w:tcW w:w="1049" w:type="dxa"/>
            <w:vMerge w:val="restart"/>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Ⅱ-15</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文化育人</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w:t>
            </w:r>
            <w:r>
              <w:rPr>
                <w:rFonts w:hint="eastAsia" w:ascii="楷体" w:hAnsi="楷体" w:eastAsia="楷体" w:cs="方正楷体简体"/>
                <w:color w:val="auto"/>
                <w:kern w:val="0"/>
                <w:sz w:val="24"/>
                <w:lang w:val="en-US" w:eastAsia="zh-CN"/>
              </w:rPr>
              <w:t>3</w:t>
            </w:r>
            <w:r>
              <w:rPr>
                <w:rFonts w:hint="eastAsia" w:ascii="楷体" w:hAnsi="楷体" w:eastAsia="楷体" w:cs="方正楷体简体"/>
                <w:color w:val="auto"/>
                <w:kern w:val="0"/>
                <w:sz w:val="24"/>
                <w:lang w:val="zh-CN"/>
              </w:rPr>
              <w:t>分）</w:t>
            </w: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en-US" w:eastAsia="zh-CN"/>
              </w:rPr>
              <w:t>47</w:t>
            </w:r>
            <w:r>
              <w:rPr>
                <w:rFonts w:hint="eastAsia" w:ascii="楷体" w:hAnsi="楷体" w:eastAsia="楷体" w:cs="方正楷体简体"/>
                <w:color w:val="auto"/>
                <w:kern w:val="0"/>
                <w:sz w:val="24"/>
                <w:lang w:val="zh-CN"/>
              </w:rPr>
              <w:t>）积极创建学院自有的文化品牌，有创新、有特色，并不断提高创建水平，努力把红色革命文化、中华优秀传统文化、社会主义先进文化和江南文化、海派文化</w:t>
            </w:r>
            <w:r>
              <w:rPr>
                <w:rFonts w:hint="eastAsia" w:ascii="楷体" w:hAnsi="楷体" w:eastAsia="楷体" w:cs="方正楷体简体"/>
                <w:color w:val="auto"/>
                <w:kern w:val="0"/>
                <w:sz w:val="24"/>
                <w:lang w:val="en-US" w:eastAsia="zh-CN"/>
              </w:rPr>
              <w:t>等</w:t>
            </w:r>
            <w:r>
              <w:rPr>
                <w:rFonts w:hint="eastAsia" w:ascii="楷体" w:hAnsi="楷体" w:eastAsia="楷体" w:cs="方正楷体简体"/>
                <w:color w:val="auto"/>
                <w:kern w:val="0"/>
                <w:sz w:val="24"/>
                <w:lang w:val="zh-CN"/>
              </w:rPr>
              <w:t>融入学院人才培养、师生文化提升各环节。（</w:t>
            </w:r>
            <w:r>
              <w:rPr>
                <w:rFonts w:hint="eastAsia" w:ascii="楷体" w:hAnsi="楷体" w:eastAsia="楷体" w:cs="方正楷体简体"/>
                <w:color w:val="auto"/>
                <w:kern w:val="0"/>
                <w:sz w:val="24"/>
                <w:lang w:val="en-US" w:eastAsia="zh-CN"/>
              </w:rPr>
              <w:t>1</w:t>
            </w:r>
            <w:r>
              <w:rPr>
                <w:rFonts w:hint="eastAsia" w:ascii="楷体" w:hAnsi="楷体" w:eastAsia="楷体" w:cs="方正楷体简体"/>
                <w:color w:val="auto"/>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8"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4</w:t>
            </w:r>
            <w:r>
              <w:rPr>
                <w:rFonts w:hint="eastAsia" w:ascii="楷体" w:hAnsi="楷体" w:eastAsia="楷体" w:cs="方正楷体简体"/>
                <w:color w:val="auto"/>
                <w:kern w:val="0"/>
                <w:sz w:val="24"/>
                <w:lang w:val="en-US" w:eastAsia="zh-CN"/>
              </w:rPr>
              <w:t>8</w:t>
            </w:r>
            <w:r>
              <w:rPr>
                <w:rFonts w:hint="eastAsia" w:ascii="楷体" w:hAnsi="楷体" w:eastAsia="楷体" w:cs="方正楷体简体"/>
                <w:color w:val="auto"/>
                <w:kern w:val="0"/>
                <w:sz w:val="24"/>
                <w:lang w:val="zh-CN"/>
              </w:rPr>
              <w:t>）配合学校有关部门开展校史馆、图书馆、中国会计博物馆、档案馆、潘序伦纪念馆等富有特色的文化育人平台建设。（</w:t>
            </w:r>
            <w:r>
              <w:rPr>
                <w:rFonts w:hint="eastAsia" w:ascii="楷体" w:hAnsi="楷体" w:eastAsia="楷体" w:cs="方正楷体简体"/>
                <w:color w:val="auto"/>
                <w:kern w:val="0"/>
                <w:sz w:val="24"/>
                <w:lang w:val="en-US" w:eastAsia="zh-CN"/>
              </w:rPr>
              <w:t>1</w:t>
            </w:r>
            <w:r>
              <w:rPr>
                <w:rFonts w:hint="eastAsia" w:ascii="楷体" w:hAnsi="楷体" w:eastAsia="楷体" w:cs="方正楷体简体"/>
                <w:color w:val="auto"/>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p>
        </w:tc>
        <w:tc>
          <w:tcPr>
            <w:tcW w:w="9991" w:type="dxa"/>
            <w:shd w:val="clear" w:color="auto" w:fill="auto"/>
            <w:tcMar>
              <w:top w:w="130" w:type="dxa"/>
              <w:left w:w="113" w:type="dxa"/>
              <w:bottom w:w="130"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en-US" w:eastAsia="zh-CN"/>
              </w:rPr>
              <w:t>49</w:t>
            </w:r>
            <w:r>
              <w:rPr>
                <w:rFonts w:hint="eastAsia" w:ascii="楷体" w:hAnsi="楷体" w:eastAsia="楷体" w:cs="方正楷体简体"/>
                <w:color w:val="auto"/>
                <w:kern w:val="0"/>
                <w:sz w:val="24"/>
                <w:lang w:val="zh-CN"/>
              </w:rPr>
              <w:t>）</w:t>
            </w:r>
            <w:r>
              <w:rPr>
                <w:rFonts w:hint="eastAsia" w:ascii="楷体" w:hAnsi="楷体" w:eastAsia="楷体" w:cs="方正楷体简体"/>
                <w:color w:val="auto"/>
                <w:kern w:val="0"/>
                <w:sz w:val="24"/>
                <w:lang w:val="en-US" w:eastAsia="zh-CN"/>
              </w:rPr>
              <w:t>积极</w:t>
            </w:r>
            <w:r>
              <w:rPr>
                <w:rFonts w:hint="eastAsia" w:ascii="楷体" w:hAnsi="楷体" w:eastAsia="楷体" w:cs="方正楷体简体"/>
                <w:color w:val="auto"/>
                <w:kern w:val="0"/>
                <w:sz w:val="24"/>
                <w:lang w:val="zh-CN"/>
              </w:rPr>
              <w:t>参与“大师系列”校园剧、“礼敬中华”、高雅艺术进校园等校园文化品牌活动各类文化活动。（</w:t>
            </w:r>
            <w:r>
              <w:rPr>
                <w:rFonts w:hint="eastAsia" w:ascii="楷体" w:hAnsi="楷体" w:eastAsia="楷体" w:cs="方正楷体简体"/>
                <w:color w:val="auto"/>
                <w:kern w:val="0"/>
                <w:sz w:val="24"/>
                <w:lang w:val="en-US" w:eastAsia="zh-CN"/>
              </w:rPr>
              <w:t>1</w:t>
            </w:r>
            <w:r>
              <w:rPr>
                <w:rFonts w:hint="eastAsia" w:ascii="楷体" w:hAnsi="楷体" w:eastAsia="楷体" w:cs="方正楷体简体"/>
                <w:color w:val="auto"/>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Header/>
          <w:jc w:val="center"/>
        </w:trPr>
        <w:tc>
          <w:tcPr>
            <w:tcW w:w="1640" w:type="dxa"/>
            <w:vMerge w:val="restart"/>
            <w:shd w:val="clear" w:color="auto" w:fill="auto"/>
            <w:tcMar>
              <w:top w:w="130" w:type="dxa"/>
              <w:left w:w="0" w:type="dxa"/>
              <w:bottom w:w="130"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Ⅰ-5</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优化校园环境</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加强后勤保障</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5</w:t>
            </w:r>
            <w:r>
              <w:rPr>
                <w:rFonts w:hint="eastAsia" w:ascii="楷体" w:hAnsi="楷体" w:eastAsia="楷体" w:cs="方正楷体简体"/>
                <w:kern w:val="0"/>
                <w:sz w:val="24"/>
                <w:lang w:val="zh-CN"/>
              </w:rPr>
              <w:t>分）</w:t>
            </w:r>
          </w:p>
        </w:tc>
        <w:tc>
          <w:tcPr>
            <w:tcW w:w="1049" w:type="dxa"/>
            <w:vMerge w:val="restart"/>
            <w:shd w:val="clear" w:color="auto" w:fill="auto"/>
            <w:tcMar>
              <w:top w:w="238" w:type="dxa"/>
              <w:left w:w="0" w:type="dxa"/>
              <w:bottom w:w="238"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eastAsia="zh-CN"/>
              </w:rPr>
            </w:pPr>
            <w:r>
              <w:rPr>
                <w:rFonts w:hint="eastAsia" w:ascii="楷体" w:hAnsi="楷体" w:eastAsia="楷体" w:cs="方正楷体简体"/>
                <w:kern w:val="0"/>
                <w:sz w:val="24"/>
                <w:lang w:val="zh-CN"/>
              </w:rPr>
              <w:t>Ⅱ-1</w:t>
            </w:r>
            <w:r>
              <w:rPr>
                <w:rFonts w:hint="eastAsia" w:ascii="楷体" w:hAnsi="楷体" w:eastAsia="楷体" w:cs="方正楷体简体"/>
                <w:kern w:val="0"/>
                <w:sz w:val="24"/>
                <w:lang w:val="en-US" w:eastAsia="zh-CN"/>
              </w:rPr>
              <w:t>6</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健康校园</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（2分）</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238" w:type="dxa"/>
              <w:left w:w="113" w:type="dxa"/>
              <w:bottom w:w="238"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5</w:t>
            </w:r>
            <w:r>
              <w:rPr>
                <w:rFonts w:hint="eastAsia" w:ascii="楷体" w:hAnsi="楷体" w:eastAsia="楷体" w:cs="方正楷体简体"/>
                <w:kern w:val="0"/>
                <w:sz w:val="24"/>
                <w:lang w:val="en-US" w:eastAsia="zh-CN"/>
              </w:rPr>
              <w:t>0</w:t>
            </w:r>
            <w:r>
              <w:rPr>
                <w:rFonts w:hint="eastAsia" w:ascii="楷体" w:hAnsi="楷体" w:eastAsia="楷体" w:cs="方正楷体简体"/>
                <w:kern w:val="0"/>
                <w:sz w:val="24"/>
                <w:lang w:val="zh-CN"/>
              </w:rPr>
              <w:t>）</w:t>
            </w:r>
            <w:r>
              <w:rPr>
                <w:rFonts w:hint="eastAsia" w:ascii="楷体" w:hAnsi="楷体" w:eastAsia="楷体" w:cs="方正楷体简体"/>
                <w:spacing w:val="-10"/>
                <w:kern w:val="0"/>
                <w:sz w:val="24"/>
                <w:lang w:val="zh-CN"/>
              </w:rPr>
              <w:t>积极鼓励学</w:t>
            </w:r>
            <w:r>
              <w:rPr>
                <w:rFonts w:hint="eastAsia" w:ascii="楷体" w:hAnsi="楷体" w:eastAsia="楷体" w:cs="方正楷体简体"/>
                <w:kern w:val="0"/>
                <w:sz w:val="24"/>
                <w:lang w:val="zh-CN"/>
              </w:rPr>
              <w:t>生参与和发展体育社团，开展校园阳光体育活动，组织和参与各级体育比赛。学生体质健康测试达标。（</w:t>
            </w:r>
            <w:r>
              <w:rPr>
                <w:rFonts w:hint="eastAsia" w:ascii="楷体" w:hAnsi="楷体" w:eastAsia="楷体" w:cs="方正楷体简体"/>
                <w:kern w:val="0"/>
                <w:sz w:val="24"/>
                <w:lang w:val="en-US" w:eastAsia="zh-CN"/>
              </w:rPr>
              <w:t>1</w:t>
            </w:r>
            <w:r>
              <w:rPr>
                <w:rFonts w:hint="eastAsia" w:ascii="楷体" w:hAnsi="楷体" w:eastAsia="楷体" w:cs="方正楷体简体"/>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9991" w:type="dxa"/>
            <w:shd w:val="clear" w:color="auto" w:fill="auto"/>
            <w:tcMar>
              <w:top w:w="238" w:type="dxa"/>
              <w:left w:w="113" w:type="dxa"/>
              <w:bottom w:w="238"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5</w:t>
            </w:r>
            <w:r>
              <w:rPr>
                <w:rFonts w:hint="eastAsia" w:ascii="楷体" w:hAnsi="楷体" w:eastAsia="楷体" w:cs="方正楷体简体"/>
                <w:kern w:val="0"/>
                <w:sz w:val="24"/>
                <w:lang w:val="en-US" w:eastAsia="zh-CN"/>
              </w:rPr>
              <w:t>1</w:t>
            </w:r>
            <w:r>
              <w:rPr>
                <w:rFonts w:hint="eastAsia" w:ascii="楷体" w:hAnsi="楷体" w:eastAsia="楷体" w:cs="方正楷体简体"/>
                <w:kern w:val="0"/>
                <w:sz w:val="24"/>
                <w:lang w:val="zh-CN"/>
              </w:rPr>
              <w:t>）学校卫生机构健全，卫生工作管理规范，疫情防控体系完备。学生健康体检率达到100%。积极配合学校健康教育课（活动）及预防艾滋病等教育。控烟工作达标。（1分）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blHeader/>
          <w:jc w:val="center"/>
        </w:trPr>
        <w:tc>
          <w:tcPr>
            <w:tcW w:w="1640" w:type="dxa"/>
            <w:vMerge w:val="continue"/>
            <w:shd w:val="clear" w:color="auto" w:fill="auto"/>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238" w:type="dxa"/>
              <w:left w:w="0" w:type="dxa"/>
              <w:bottom w:w="238"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eastAsia="zh-CN"/>
              </w:rPr>
            </w:pPr>
            <w:r>
              <w:rPr>
                <w:rFonts w:hint="eastAsia" w:ascii="楷体" w:hAnsi="楷体" w:eastAsia="楷体" w:cs="方正楷体简体"/>
                <w:color w:val="auto"/>
                <w:kern w:val="0"/>
                <w:sz w:val="24"/>
                <w:lang w:val="zh-CN"/>
              </w:rPr>
              <w:t>Ⅱ-1</w:t>
            </w:r>
            <w:r>
              <w:rPr>
                <w:rFonts w:hint="eastAsia" w:ascii="楷体" w:hAnsi="楷体" w:eastAsia="楷体" w:cs="方正楷体简体"/>
                <w:color w:val="auto"/>
                <w:kern w:val="0"/>
                <w:sz w:val="24"/>
                <w:lang w:val="en-US" w:eastAsia="zh-CN"/>
              </w:rPr>
              <w:t>7</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平安学校</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w:t>
            </w:r>
            <w:r>
              <w:rPr>
                <w:rFonts w:hint="eastAsia" w:ascii="楷体" w:hAnsi="楷体" w:eastAsia="楷体" w:cs="方正楷体简体"/>
                <w:color w:val="auto"/>
                <w:kern w:val="0"/>
                <w:sz w:val="24"/>
                <w:lang w:val="en-US" w:eastAsia="zh-CN"/>
              </w:rPr>
              <w:t>2</w:t>
            </w:r>
            <w:r>
              <w:rPr>
                <w:rFonts w:hint="eastAsia" w:ascii="楷体" w:hAnsi="楷体" w:eastAsia="楷体" w:cs="方正楷体简体"/>
                <w:color w:val="auto"/>
                <w:kern w:val="0"/>
                <w:sz w:val="24"/>
                <w:lang w:val="zh-CN"/>
              </w:rPr>
              <w:t>分）</w:t>
            </w:r>
          </w:p>
        </w:tc>
        <w:tc>
          <w:tcPr>
            <w:tcW w:w="9991" w:type="dxa"/>
            <w:shd w:val="clear" w:color="auto" w:fill="auto"/>
            <w:tcMar>
              <w:top w:w="238" w:type="dxa"/>
              <w:left w:w="113" w:type="dxa"/>
              <w:bottom w:w="238"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5</w:t>
            </w:r>
            <w:r>
              <w:rPr>
                <w:rFonts w:hint="eastAsia" w:ascii="楷体" w:hAnsi="楷体" w:eastAsia="楷体" w:cs="方正楷体简体"/>
                <w:color w:val="auto"/>
                <w:kern w:val="0"/>
                <w:sz w:val="24"/>
                <w:lang w:val="en-US" w:eastAsia="zh-CN"/>
              </w:rPr>
              <w:t>2</w:t>
            </w:r>
            <w:r>
              <w:rPr>
                <w:rFonts w:hint="eastAsia" w:ascii="楷体" w:hAnsi="楷体" w:eastAsia="楷体" w:cs="方正楷体简体"/>
                <w:color w:val="auto"/>
                <w:kern w:val="0"/>
                <w:sz w:val="24"/>
                <w:lang w:val="zh-CN"/>
              </w:rPr>
              <w:t>）落实学校平安单位创建工作机制，签订安全责任书，建立健全安全稳定、保密、网络安全等工作制度。建立和完善学院突发事件处置预案和紧急信息报送机制。积极配合学校组织开展的安全和人民防空教育。师生员工对平安单位创建活动的知晓率和参与率90%以上。（</w:t>
            </w:r>
            <w:r>
              <w:rPr>
                <w:rFonts w:hint="eastAsia" w:ascii="楷体" w:hAnsi="楷体" w:eastAsia="楷体" w:cs="方正楷体简体"/>
                <w:color w:val="auto"/>
                <w:kern w:val="0"/>
                <w:sz w:val="24"/>
                <w:lang w:val="en-US" w:eastAsia="zh-CN"/>
              </w:rPr>
              <w:t>1</w:t>
            </w:r>
            <w:r>
              <w:rPr>
                <w:rFonts w:hint="eastAsia" w:ascii="楷体" w:hAnsi="楷体" w:eastAsia="楷体" w:cs="方正楷体简体"/>
                <w:color w:val="auto"/>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tblHeader/>
          <w:jc w:val="center"/>
        </w:trPr>
        <w:tc>
          <w:tcPr>
            <w:tcW w:w="1640" w:type="dxa"/>
            <w:vMerge w:val="continue"/>
            <w:shd w:val="clear" w:color="auto" w:fill="auto"/>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continue"/>
            <w:shd w:val="clear" w:color="auto" w:fill="auto"/>
            <w:tcMar>
              <w:top w:w="238" w:type="dxa"/>
              <w:left w:w="0" w:type="dxa"/>
              <w:bottom w:w="238"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p>
        </w:tc>
        <w:tc>
          <w:tcPr>
            <w:tcW w:w="9991" w:type="dxa"/>
            <w:shd w:val="clear" w:color="auto" w:fill="auto"/>
            <w:tcMar>
              <w:top w:w="238" w:type="dxa"/>
              <w:left w:w="113" w:type="dxa"/>
              <w:bottom w:w="238"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5</w:t>
            </w:r>
            <w:r>
              <w:rPr>
                <w:rFonts w:hint="eastAsia" w:ascii="楷体" w:hAnsi="楷体" w:eastAsia="楷体" w:cs="方正楷体简体"/>
                <w:color w:val="auto"/>
                <w:kern w:val="0"/>
                <w:sz w:val="24"/>
                <w:lang w:val="en-US" w:eastAsia="zh-CN"/>
              </w:rPr>
              <w:t>3</w:t>
            </w:r>
            <w:r>
              <w:rPr>
                <w:rFonts w:hint="eastAsia" w:ascii="楷体" w:hAnsi="楷体" w:eastAsia="楷体" w:cs="方正楷体简体"/>
                <w:color w:val="auto"/>
                <w:kern w:val="0"/>
                <w:sz w:val="24"/>
                <w:lang w:val="zh-CN"/>
              </w:rPr>
              <w:t>）大学生安全教育进课堂，配合学校组织逃生等防灾演练。严格执行消防法规，配合学校保卫部门进行相关区域消防检查。严格校外住宿学生的教育和管理。（</w:t>
            </w:r>
            <w:r>
              <w:rPr>
                <w:rFonts w:hint="eastAsia" w:ascii="楷体" w:hAnsi="楷体" w:eastAsia="楷体" w:cs="方正楷体简体"/>
                <w:color w:val="auto"/>
                <w:kern w:val="0"/>
                <w:sz w:val="24"/>
                <w:lang w:val="en-US" w:eastAsia="zh-CN"/>
              </w:rPr>
              <w:t>1</w:t>
            </w:r>
            <w:r>
              <w:rPr>
                <w:rFonts w:hint="eastAsia" w:ascii="楷体" w:hAnsi="楷体" w:eastAsia="楷体" w:cs="方正楷体简体"/>
                <w:color w:val="auto"/>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73" w:hRule="atLeast"/>
          <w:tblHeader/>
          <w:jc w:val="center"/>
        </w:trPr>
        <w:tc>
          <w:tcPr>
            <w:tcW w:w="1640" w:type="dxa"/>
            <w:shd w:val="clear" w:color="auto" w:fill="auto"/>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Ⅰ-5</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优化校园环境</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加强后勤保障</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5</w:t>
            </w:r>
            <w:r>
              <w:rPr>
                <w:rFonts w:hint="eastAsia" w:ascii="楷体" w:hAnsi="楷体" w:eastAsia="楷体" w:cs="方正楷体简体"/>
                <w:kern w:val="0"/>
                <w:sz w:val="24"/>
                <w:lang w:val="zh-CN"/>
              </w:rPr>
              <w:t>分）</w:t>
            </w:r>
          </w:p>
        </w:tc>
        <w:tc>
          <w:tcPr>
            <w:tcW w:w="1049" w:type="dxa"/>
            <w:shd w:val="clear" w:color="auto" w:fill="auto"/>
            <w:tcMar>
              <w:top w:w="238" w:type="dxa"/>
              <w:left w:w="0" w:type="dxa"/>
              <w:bottom w:w="238"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eastAsia="zh-CN"/>
              </w:rPr>
            </w:pPr>
            <w:r>
              <w:rPr>
                <w:rFonts w:hint="eastAsia" w:ascii="楷体" w:hAnsi="楷体" w:eastAsia="楷体" w:cs="方正楷体简体"/>
                <w:color w:val="auto"/>
                <w:kern w:val="0"/>
                <w:sz w:val="24"/>
                <w:lang w:val="zh-CN"/>
              </w:rPr>
              <w:t>Ⅱ-1</w:t>
            </w:r>
            <w:r>
              <w:rPr>
                <w:rFonts w:hint="eastAsia" w:ascii="楷体" w:hAnsi="楷体" w:eastAsia="楷体" w:cs="方正楷体简体"/>
                <w:color w:val="auto"/>
                <w:kern w:val="0"/>
                <w:sz w:val="24"/>
                <w:lang w:val="en-US" w:eastAsia="zh-CN"/>
              </w:rPr>
              <w:t>8</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生态校园</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w:t>
            </w:r>
            <w:r>
              <w:rPr>
                <w:rFonts w:hint="eastAsia" w:ascii="楷体" w:hAnsi="楷体" w:eastAsia="楷体" w:cs="方正楷体简体"/>
                <w:color w:val="auto"/>
                <w:kern w:val="0"/>
                <w:sz w:val="24"/>
                <w:lang w:val="en-US" w:eastAsia="zh-CN"/>
              </w:rPr>
              <w:t>1</w:t>
            </w:r>
            <w:r>
              <w:rPr>
                <w:rFonts w:hint="eastAsia" w:ascii="楷体" w:hAnsi="楷体" w:eastAsia="楷体" w:cs="方正楷体简体"/>
                <w:color w:val="auto"/>
                <w:kern w:val="0"/>
                <w:sz w:val="24"/>
                <w:lang w:val="zh-CN"/>
              </w:rPr>
              <w:t>分）</w:t>
            </w:r>
          </w:p>
        </w:tc>
        <w:tc>
          <w:tcPr>
            <w:tcW w:w="9991" w:type="dxa"/>
            <w:shd w:val="clear" w:color="auto" w:fill="auto"/>
            <w:tcMar>
              <w:top w:w="238" w:type="dxa"/>
              <w:left w:w="113" w:type="dxa"/>
              <w:bottom w:w="238"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5</w:t>
            </w:r>
            <w:r>
              <w:rPr>
                <w:rFonts w:hint="eastAsia" w:ascii="楷体" w:hAnsi="楷体" w:eastAsia="楷体" w:cs="方正楷体简体"/>
                <w:color w:val="auto"/>
                <w:kern w:val="0"/>
                <w:sz w:val="24"/>
                <w:lang w:val="en-US" w:eastAsia="zh-CN"/>
              </w:rPr>
              <w:t>4</w:t>
            </w:r>
            <w:r>
              <w:rPr>
                <w:rFonts w:hint="eastAsia" w:ascii="楷体" w:hAnsi="楷体" w:eastAsia="楷体" w:cs="方正楷体简体"/>
                <w:color w:val="auto"/>
                <w:kern w:val="0"/>
                <w:sz w:val="24"/>
                <w:lang w:val="zh-CN"/>
              </w:rPr>
              <w:t>）加强垃圾分类宣传教育。配合相关部门落实节约型校园（节粮节水节电）创建要求，开展低碳节能教育，引导师生树立环保理念（</w:t>
            </w:r>
            <w:r>
              <w:rPr>
                <w:rFonts w:hint="eastAsia" w:ascii="楷体" w:hAnsi="楷体" w:eastAsia="楷体" w:cs="方正楷体简体"/>
                <w:color w:val="auto"/>
                <w:kern w:val="0"/>
                <w:sz w:val="24"/>
                <w:lang w:val="en-US" w:eastAsia="zh-CN"/>
              </w:rPr>
              <w:t>1</w:t>
            </w:r>
            <w:r>
              <w:rPr>
                <w:rFonts w:hint="eastAsia" w:ascii="楷体" w:hAnsi="楷体" w:eastAsia="楷体" w:cs="方正楷体简体"/>
                <w:color w:val="auto"/>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640" w:type="dxa"/>
            <w:vMerge w:val="restart"/>
            <w:shd w:val="clear" w:color="auto" w:fill="auto"/>
            <w:tcMar>
              <w:top w:w="283" w:type="dxa"/>
              <w:left w:w="0" w:type="dxa"/>
              <w:bottom w:w="28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Ⅰ-6</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强化责任担当校社共建共享</w:t>
            </w:r>
          </w:p>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r>
              <w:rPr>
                <w:rFonts w:hint="eastAsia" w:ascii="楷体" w:hAnsi="楷体" w:eastAsia="楷体" w:cs="方正楷体简体"/>
                <w:kern w:val="0"/>
                <w:sz w:val="24"/>
                <w:lang w:val="zh-CN"/>
              </w:rPr>
              <w:t>（</w:t>
            </w:r>
            <w:r>
              <w:rPr>
                <w:rFonts w:hint="eastAsia" w:ascii="楷体" w:hAnsi="楷体" w:eastAsia="楷体" w:cs="方正楷体简体"/>
                <w:kern w:val="0"/>
                <w:sz w:val="24"/>
                <w:lang w:val="en-US" w:eastAsia="zh-CN"/>
              </w:rPr>
              <w:t>5</w:t>
            </w:r>
            <w:r>
              <w:rPr>
                <w:rFonts w:hint="eastAsia" w:ascii="楷体" w:hAnsi="楷体" w:eastAsia="楷体" w:cs="方正楷体简体"/>
                <w:kern w:val="0"/>
                <w:sz w:val="24"/>
                <w:lang w:val="zh-CN"/>
              </w:rPr>
              <w:t>分）</w:t>
            </w:r>
          </w:p>
        </w:tc>
        <w:tc>
          <w:tcPr>
            <w:tcW w:w="1049" w:type="dxa"/>
            <w:shd w:val="clear" w:color="auto" w:fill="auto"/>
            <w:tcMar>
              <w:top w:w="283" w:type="dxa"/>
              <w:left w:w="0" w:type="dxa"/>
              <w:bottom w:w="283" w:type="dxa"/>
              <w:right w:w="0" w:type="dxa"/>
            </w:tcMar>
            <w:vAlign w:val="center"/>
          </w:tcPr>
          <w:p>
            <w:pPr>
              <w:autoSpaceDE w:val="0"/>
              <w:autoSpaceDN w:val="0"/>
              <w:adjustRightInd w:val="0"/>
              <w:spacing w:line="276" w:lineRule="auto"/>
              <w:jc w:val="center"/>
              <w:textAlignment w:val="center"/>
              <w:rPr>
                <w:rFonts w:hint="default" w:ascii="楷体" w:hAnsi="楷体" w:eastAsia="楷体" w:cs="方正楷体简体"/>
                <w:color w:val="auto"/>
                <w:kern w:val="0"/>
                <w:sz w:val="24"/>
                <w:lang w:val="en-US" w:eastAsia="zh-CN"/>
              </w:rPr>
            </w:pPr>
            <w:r>
              <w:rPr>
                <w:rFonts w:hint="eastAsia" w:ascii="楷体" w:hAnsi="楷体" w:eastAsia="楷体" w:cs="方正楷体简体"/>
                <w:color w:val="auto"/>
                <w:kern w:val="0"/>
                <w:sz w:val="24"/>
                <w:lang w:val="zh-CN"/>
              </w:rPr>
              <w:t>Ⅱ-</w:t>
            </w:r>
            <w:r>
              <w:rPr>
                <w:rFonts w:hint="eastAsia" w:ascii="楷体" w:hAnsi="楷体" w:eastAsia="楷体" w:cs="方正楷体简体"/>
                <w:color w:val="auto"/>
                <w:kern w:val="0"/>
                <w:sz w:val="24"/>
                <w:lang w:val="en-US" w:eastAsia="zh-CN"/>
              </w:rPr>
              <w:t>19</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志愿服务</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w:t>
            </w:r>
            <w:r>
              <w:rPr>
                <w:rFonts w:hint="eastAsia" w:ascii="楷体" w:hAnsi="楷体" w:eastAsia="楷体" w:cs="方正楷体简体"/>
                <w:color w:val="auto"/>
                <w:kern w:val="0"/>
                <w:sz w:val="24"/>
                <w:lang w:val="en-US" w:eastAsia="zh-CN"/>
              </w:rPr>
              <w:t>2</w:t>
            </w:r>
            <w:r>
              <w:rPr>
                <w:rFonts w:hint="eastAsia" w:ascii="楷体" w:hAnsi="楷体" w:eastAsia="楷体" w:cs="方正楷体简体"/>
                <w:color w:val="auto"/>
                <w:kern w:val="0"/>
                <w:sz w:val="24"/>
                <w:lang w:val="zh-CN"/>
              </w:rPr>
              <w:t>分）</w:t>
            </w:r>
          </w:p>
        </w:tc>
        <w:tc>
          <w:tcPr>
            <w:tcW w:w="9991" w:type="dxa"/>
            <w:shd w:val="clear" w:color="auto" w:fill="auto"/>
            <w:tcMar>
              <w:top w:w="283" w:type="dxa"/>
              <w:left w:w="113" w:type="dxa"/>
              <w:bottom w:w="28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5</w:t>
            </w:r>
            <w:r>
              <w:rPr>
                <w:rFonts w:hint="eastAsia" w:ascii="楷体" w:hAnsi="楷体" w:eastAsia="楷体" w:cs="方正楷体简体"/>
                <w:color w:val="auto"/>
                <w:kern w:val="0"/>
                <w:sz w:val="24"/>
                <w:lang w:val="en-US" w:eastAsia="zh-CN"/>
              </w:rPr>
              <w:t>5</w:t>
            </w:r>
            <w:r>
              <w:rPr>
                <w:rFonts w:hint="eastAsia" w:ascii="楷体" w:hAnsi="楷体" w:eastAsia="楷体" w:cs="方正楷体简体"/>
                <w:color w:val="auto"/>
                <w:kern w:val="0"/>
                <w:sz w:val="24"/>
                <w:lang w:val="zh-CN"/>
              </w:rPr>
              <w:t>）深化党员志愿服务和网络文明志愿服务，师生员工志愿者注册率、服务参与率达到40%以上。（</w:t>
            </w:r>
            <w:r>
              <w:rPr>
                <w:rFonts w:hint="eastAsia" w:ascii="楷体" w:hAnsi="楷体" w:eastAsia="楷体" w:cs="方正楷体简体"/>
                <w:color w:val="auto"/>
                <w:kern w:val="0"/>
                <w:sz w:val="24"/>
                <w:lang w:val="en-US" w:eastAsia="zh-CN"/>
              </w:rPr>
              <w:t>2</w:t>
            </w:r>
            <w:r>
              <w:rPr>
                <w:rFonts w:hint="eastAsia" w:ascii="楷体" w:hAnsi="楷体" w:eastAsia="楷体" w:cs="方正楷体简体"/>
                <w:color w:val="auto"/>
                <w:kern w:val="0"/>
                <w:sz w:val="24"/>
                <w:lang w:val="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blHeader/>
          <w:jc w:val="center"/>
        </w:trPr>
        <w:tc>
          <w:tcPr>
            <w:tcW w:w="1640" w:type="dxa"/>
            <w:vMerge w:val="continue"/>
            <w:shd w:val="clear" w:color="auto" w:fill="auto"/>
            <w:vAlign w:val="center"/>
          </w:tcPr>
          <w:p>
            <w:pPr>
              <w:autoSpaceDE w:val="0"/>
              <w:autoSpaceDN w:val="0"/>
              <w:adjustRightInd w:val="0"/>
              <w:spacing w:line="276" w:lineRule="auto"/>
              <w:jc w:val="center"/>
              <w:textAlignment w:val="center"/>
              <w:rPr>
                <w:rFonts w:hint="eastAsia" w:ascii="楷体" w:hAnsi="楷体" w:eastAsia="楷体" w:cs="方正楷体简体"/>
                <w:kern w:val="0"/>
                <w:sz w:val="24"/>
                <w:lang w:val="zh-CN"/>
              </w:rPr>
            </w:pPr>
          </w:p>
        </w:tc>
        <w:tc>
          <w:tcPr>
            <w:tcW w:w="1049" w:type="dxa"/>
            <w:vMerge w:val="restart"/>
            <w:shd w:val="clear" w:color="auto" w:fill="auto"/>
            <w:tcMar>
              <w:top w:w="283" w:type="dxa"/>
              <w:left w:w="0" w:type="dxa"/>
              <w:bottom w:w="283" w:type="dxa"/>
              <w:right w:w="0" w:type="dxa"/>
            </w:tcMar>
            <w:vAlign w:val="center"/>
          </w:tcPr>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eastAsia="zh-CN"/>
              </w:rPr>
            </w:pPr>
            <w:r>
              <w:rPr>
                <w:rFonts w:hint="eastAsia" w:ascii="楷体" w:hAnsi="楷体" w:eastAsia="楷体" w:cs="方正楷体简体"/>
                <w:color w:val="auto"/>
                <w:kern w:val="0"/>
                <w:sz w:val="24"/>
                <w:lang w:val="zh-CN"/>
              </w:rPr>
              <w:t>Ⅱ-2</w:t>
            </w:r>
            <w:r>
              <w:rPr>
                <w:rFonts w:hint="eastAsia" w:ascii="楷体" w:hAnsi="楷体" w:eastAsia="楷体" w:cs="方正楷体简体"/>
                <w:color w:val="auto"/>
                <w:kern w:val="0"/>
                <w:sz w:val="24"/>
                <w:lang w:val="en-US" w:eastAsia="zh-CN"/>
              </w:rPr>
              <w:t>0</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共建共享</w:t>
            </w:r>
          </w:p>
          <w:p>
            <w:pPr>
              <w:autoSpaceDE w:val="0"/>
              <w:autoSpaceDN w:val="0"/>
              <w:adjustRightInd w:val="0"/>
              <w:spacing w:line="276" w:lineRule="auto"/>
              <w:jc w:val="center"/>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zh-CN"/>
              </w:rPr>
              <w:t>（3分）</w:t>
            </w:r>
          </w:p>
        </w:tc>
        <w:tc>
          <w:tcPr>
            <w:tcW w:w="9991" w:type="dxa"/>
            <w:shd w:val="clear" w:color="auto" w:fill="auto"/>
            <w:tcMar>
              <w:top w:w="283" w:type="dxa"/>
              <w:left w:w="113" w:type="dxa"/>
              <w:bottom w:w="28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en-US" w:eastAsia="zh-CN"/>
              </w:rPr>
              <w:t>56</w:t>
            </w:r>
            <w:r>
              <w:rPr>
                <w:rFonts w:hint="eastAsia" w:ascii="楷体" w:hAnsi="楷体" w:eastAsia="楷体" w:cs="方正楷体简体"/>
                <w:color w:val="auto"/>
                <w:kern w:val="0"/>
                <w:sz w:val="24"/>
                <w:lang w:val="zh-CN"/>
              </w:rPr>
              <w:t>）</w:t>
            </w:r>
            <w:r>
              <w:rPr>
                <w:rFonts w:hint="eastAsia" w:ascii="楷体" w:hAnsi="楷体" w:eastAsia="楷体" w:cs="方正楷体简体"/>
                <w:color w:val="auto"/>
                <w:kern w:val="0"/>
                <w:sz w:val="24"/>
                <w:lang w:val="en-US" w:eastAsia="zh-CN"/>
              </w:rPr>
              <w:t>以</w:t>
            </w:r>
            <w:r>
              <w:rPr>
                <w:rFonts w:hint="eastAsia" w:ascii="楷体" w:hAnsi="楷体" w:eastAsia="楷体" w:cs="方正楷体简体"/>
                <w:color w:val="auto"/>
                <w:kern w:val="0"/>
                <w:sz w:val="24"/>
                <w:lang w:val="zh-CN"/>
              </w:rPr>
              <w:t>潘序伦先生诞辰130周年和建校95周年纪念为契机，进一步加强校友工作联系、校友服务，积极争取校友支持。</w:t>
            </w:r>
            <w:r>
              <w:rPr>
                <w:rFonts w:hint="eastAsia" w:ascii="楷体" w:hAnsi="楷体" w:eastAsia="楷体" w:cs="方正楷体简体"/>
                <w:color w:val="auto"/>
                <w:kern w:val="0"/>
                <w:sz w:val="24"/>
              </w:rPr>
              <w:t>广泛利用社会资源，加强学院自身建设。</w:t>
            </w:r>
            <w:r>
              <w:rPr>
                <w:rFonts w:hint="eastAsia" w:ascii="楷体" w:hAnsi="楷体" w:eastAsia="楷体" w:cs="方正楷体简体"/>
                <w:color w:val="auto"/>
                <w:kern w:val="0"/>
                <w:sz w:val="24"/>
                <w:lang w:val="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6" w:hRule="exact"/>
          <w:tblHeader/>
          <w:jc w:val="center"/>
        </w:trPr>
        <w:tc>
          <w:tcPr>
            <w:tcW w:w="1640" w:type="dxa"/>
            <w:vMerge w:val="continue"/>
            <w:shd w:val="clear" w:color="auto" w:fill="auto"/>
          </w:tcPr>
          <w:p>
            <w:pPr>
              <w:autoSpaceDE w:val="0"/>
              <w:autoSpaceDN w:val="0"/>
              <w:adjustRightInd w:val="0"/>
              <w:spacing w:line="276" w:lineRule="auto"/>
              <w:textAlignment w:val="center"/>
              <w:rPr>
                <w:rFonts w:hint="eastAsia" w:ascii="楷体" w:hAnsi="楷体" w:eastAsia="楷体" w:cs="方正楷体简体"/>
                <w:kern w:val="0"/>
                <w:sz w:val="24"/>
                <w:lang w:val="zh-CN"/>
              </w:rPr>
            </w:pPr>
          </w:p>
        </w:tc>
        <w:tc>
          <w:tcPr>
            <w:tcW w:w="1049" w:type="dxa"/>
            <w:vMerge w:val="continue"/>
            <w:shd w:val="clear" w:color="auto" w:fill="auto"/>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p>
        </w:tc>
        <w:tc>
          <w:tcPr>
            <w:tcW w:w="9991" w:type="dxa"/>
            <w:shd w:val="clear" w:color="auto" w:fill="auto"/>
            <w:tcMar>
              <w:top w:w="283" w:type="dxa"/>
              <w:left w:w="113" w:type="dxa"/>
              <w:bottom w:w="283" w:type="dxa"/>
              <w:right w:w="113" w:type="dxa"/>
            </w:tcMar>
            <w:vAlign w:val="center"/>
          </w:tcPr>
          <w:p>
            <w:pPr>
              <w:autoSpaceDE w:val="0"/>
              <w:autoSpaceDN w:val="0"/>
              <w:adjustRightInd w:val="0"/>
              <w:spacing w:line="276" w:lineRule="auto"/>
              <w:textAlignment w:val="center"/>
              <w:rPr>
                <w:rFonts w:hint="eastAsia" w:ascii="楷体" w:hAnsi="楷体" w:eastAsia="楷体" w:cs="方正楷体简体"/>
                <w:color w:val="auto"/>
                <w:kern w:val="0"/>
                <w:sz w:val="24"/>
                <w:lang w:val="zh-CN"/>
              </w:rPr>
            </w:pPr>
            <w:r>
              <w:rPr>
                <w:rFonts w:hint="eastAsia" w:ascii="楷体" w:hAnsi="楷体" w:eastAsia="楷体" w:cs="方正楷体简体"/>
                <w:color w:val="auto"/>
                <w:kern w:val="0"/>
                <w:sz w:val="24"/>
                <w:lang w:val="en-US" w:eastAsia="zh-CN"/>
              </w:rPr>
              <w:t>57</w:t>
            </w:r>
            <w:r>
              <w:rPr>
                <w:rFonts w:hint="eastAsia" w:ascii="楷体" w:hAnsi="楷体" w:eastAsia="楷体" w:cs="方正楷体简体"/>
                <w:color w:val="auto"/>
                <w:kern w:val="0"/>
                <w:sz w:val="24"/>
                <w:lang w:val="zh-CN"/>
              </w:rPr>
              <w:t>）落实献血任务，完成征兵计划，开展拥军优属、双结对、社会捐助、扶老帮困等公益活动。（1分）</w:t>
            </w:r>
          </w:p>
        </w:tc>
      </w:tr>
    </w:tbl>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widowControl/>
        <w:spacing w:line="580" w:lineRule="exact"/>
        <w:jc w:val="center"/>
        <w:rPr>
          <w:rFonts w:ascii="黑体" w:hAnsi="黑体" w:eastAsia="黑体" w:cs="方正黑体简体"/>
          <w:kern w:val="0"/>
          <w:sz w:val="28"/>
          <w:szCs w:val="28"/>
          <w:lang w:val="zh-CN"/>
        </w:rPr>
      </w:pPr>
      <w:r>
        <w:rPr>
          <w:rFonts w:hint="eastAsia" w:ascii="黑体" w:hAnsi="黑体" w:eastAsia="黑体" w:cs="方正黑体简体"/>
          <w:kern w:val="0"/>
          <w:sz w:val="28"/>
          <w:szCs w:val="28"/>
          <w:lang w:val="zh-CN"/>
        </w:rPr>
        <w:t>二、特色指标（共</w:t>
      </w:r>
      <w:r>
        <w:rPr>
          <w:rFonts w:ascii="黑体" w:hAnsi="黑体" w:eastAsia="黑体" w:cs="方正黑体简体"/>
          <w:kern w:val="0"/>
          <w:sz w:val="28"/>
          <w:szCs w:val="28"/>
          <w:lang w:val="zh-CN"/>
        </w:rPr>
        <w:t>10</w:t>
      </w:r>
      <w:r>
        <w:rPr>
          <w:rFonts w:hint="eastAsia" w:ascii="黑体" w:hAnsi="黑体" w:eastAsia="黑体" w:cs="方正黑体简体"/>
          <w:kern w:val="0"/>
          <w:sz w:val="28"/>
          <w:szCs w:val="28"/>
          <w:lang w:val="zh-CN"/>
        </w:rPr>
        <w:t>分）</w:t>
      </w:r>
    </w:p>
    <w:tbl>
      <w:tblPr>
        <w:tblStyle w:val="2"/>
        <w:tblW w:w="4500" w:type="pct"/>
        <w:tblInd w:w="737" w:type="dxa"/>
        <w:tblLayout w:type="autofit"/>
        <w:tblCellMar>
          <w:top w:w="28" w:type="dxa"/>
          <w:left w:w="28" w:type="dxa"/>
          <w:bottom w:w="28" w:type="dxa"/>
          <w:right w:w="28" w:type="dxa"/>
        </w:tblCellMar>
      </w:tblPr>
      <w:tblGrid>
        <w:gridCol w:w="1608"/>
        <w:gridCol w:w="10223"/>
        <w:gridCol w:w="834"/>
      </w:tblGrid>
      <w:tr>
        <w:tblPrEx>
          <w:tblCellMar>
            <w:top w:w="28" w:type="dxa"/>
            <w:left w:w="28" w:type="dxa"/>
            <w:bottom w:w="28" w:type="dxa"/>
            <w:right w:w="28" w:type="dxa"/>
          </w:tblCellMar>
        </w:tblPrEx>
        <w:trPr>
          <w:trHeight w:val="567" w:hRule="atLeast"/>
        </w:trPr>
        <w:tc>
          <w:tcPr>
            <w:tcW w:w="6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widowControl/>
              <w:snapToGrid w:val="0"/>
              <w:jc w:val="center"/>
              <w:rPr>
                <w:rFonts w:hint="eastAsia" w:ascii="黑体" w:hAnsi="黑体" w:eastAsia="黑体" w:cs="宋体"/>
                <w:b/>
                <w:bCs/>
                <w:kern w:val="0"/>
                <w:sz w:val="24"/>
                <w:szCs w:val="24"/>
                <w:lang w:val="zh-CN" w:eastAsia="zh-CN"/>
              </w:rPr>
            </w:pPr>
            <w:r>
              <w:rPr>
                <w:rFonts w:hint="eastAsia" w:ascii="黑体" w:hAnsi="黑体" w:eastAsia="黑体" w:cs="宋体"/>
                <w:b/>
                <w:bCs/>
                <w:kern w:val="0"/>
                <w:sz w:val="24"/>
                <w:szCs w:val="24"/>
                <w:lang w:val="zh-CN" w:eastAsia="zh-CN"/>
              </w:rPr>
              <w:t>序号</w:t>
            </w:r>
          </w:p>
        </w:tc>
        <w:tc>
          <w:tcPr>
            <w:tcW w:w="40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widowControl/>
              <w:snapToGrid w:val="0"/>
              <w:jc w:val="center"/>
              <w:rPr>
                <w:rFonts w:hint="eastAsia" w:ascii="黑体" w:hAnsi="黑体" w:eastAsia="黑体" w:cs="宋体"/>
                <w:b/>
                <w:bCs/>
                <w:kern w:val="0"/>
                <w:sz w:val="24"/>
                <w:szCs w:val="24"/>
                <w:lang w:val="zh-CN" w:eastAsia="zh-CN"/>
              </w:rPr>
            </w:pPr>
            <w:r>
              <w:rPr>
                <w:rFonts w:hint="eastAsia" w:ascii="黑体" w:hAnsi="黑体" w:eastAsia="黑体" w:cs="宋体"/>
                <w:b/>
                <w:bCs/>
                <w:kern w:val="0"/>
                <w:sz w:val="24"/>
                <w:szCs w:val="24"/>
                <w:lang w:val="zh-CN" w:eastAsia="zh-CN"/>
              </w:rPr>
              <w:t>指标名称</w:t>
            </w:r>
          </w:p>
        </w:tc>
        <w:tc>
          <w:tcPr>
            <w:tcW w:w="329"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widowControl/>
              <w:snapToGrid w:val="0"/>
              <w:jc w:val="center"/>
              <w:rPr>
                <w:rFonts w:hint="eastAsia" w:ascii="黑体" w:hAnsi="黑体" w:eastAsia="黑体" w:cs="宋体"/>
                <w:b/>
                <w:bCs/>
                <w:kern w:val="0"/>
                <w:sz w:val="24"/>
                <w:szCs w:val="24"/>
                <w:lang w:val="zh-CN" w:eastAsia="zh-CN"/>
              </w:rPr>
            </w:pPr>
            <w:r>
              <w:rPr>
                <w:rFonts w:hint="eastAsia" w:ascii="黑体" w:hAnsi="黑体" w:eastAsia="黑体" w:cs="宋体"/>
                <w:b/>
                <w:bCs/>
                <w:kern w:val="0"/>
                <w:sz w:val="24"/>
                <w:szCs w:val="24"/>
                <w:lang w:val="zh-CN" w:eastAsia="zh-CN"/>
              </w:rPr>
              <w:t>分值</w:t>
            </w:r>
          </w:p>
        </w:tc>
      </w:tr>
      <w:tr>
        <w:tblPrEx>
          <w:tblCellMar>
            <w:top w:w="28" w:type="dxa"/>
            <w:left w:w="28" w:type="dxa"/>
            <w:bottom w:w="28" w:type="dxa"/>
            <w:right w:w="28" w:type="dxa"/>
          </w:tblCellMar>
        </w:tblPrEx>
        <w:trPr>
          <w:trHeight w:val="567" w:hRule="atLeast"/>
        </w:trPr>
        <w:tc>
          <w:tcPr>
            <w:tcW w:w="6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1</w:t>
            </w:r>
          </w:p>
        </w:tc>
        <w:tc>
          <w:tcPr>
            <w:tcW w:w="40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在党的建设、思政教育、意识形态、文明文化、教育科研、服务社会等方面的研究、实践和宣传取得国家级和市级成果。</w:t>
            </w:r>
          </w:p>
        </w:tc>
        <w:tc>
          <w:tcPr>
            <w:tcW w:w="329"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580" w:lineRule="exact"/>
              <w:jc w:val="center"/>
              <w:textAlignment w:val="center"/>
              <w:rPr>
                <w:rFonts w:hint="eastAsia" w:ascii="楷体" w:hAnsi="楷体" w:eastAsia="楷体" w:cs="楷体"/>
                <w:kern w:val="0"/>
                <w:sz w:val="24"/>
                <w:lang w:val="zh-CN" w:eastAsia="zh-CN"/>
              </w:rPr>
            </w:pPr>
            <w:r>
              <w:rPr>
                <w:rFonts w:hint="eastAsia" w:ascii="楷体" w:hAnsi="楷体" w:eastAsia="楷体" w:cs="楷体"/>
                <w:kern w:val="0"/>
                <w:sz w:val="24"/>
                <w:lang w:val="en-US" w:eastAsia="zh-CN"/>
              </w:rPr>
              <w:t>3</w:t>
            </w:r>
          </w:p>
        </w:tc>
      </w:tr>
      <w:tr>
        <w:tblPrEx>
          <w:tblCellMar>
            <w:top w:w="28" w:type="dxa"/>
            <w:left w:w="28" w:type="dxa"/>
            <w:bottom w:w="28" w:type="dxa"/>
            <w:right w:w="28" w:type="dxa"/>
          </w:tblCellMar>
        </w:tblPrEx>
        <w:trPr>
          <w:trHeight w:val="567" w:hRule="atLeast"/>
        </w:trPr>
        <w:tc>
          <w:tcPr>
            <w:tcW w:w="6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2</w:t>
            </w:r>
          </w:p>
        </w:tc>
        <w:tc>
          <w:tcPr>
            <w:tcW w:w="40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有荣获省部级及以上表彰的好人好事。在宣传思想文化工作、教育教学改革等方面得到国家和市级主要媒体报道，并产生广泛影响。</w:t>
            </w:r>
          </w:p>
        </w:tc>
        <w:tc>
          <w:tcPr>
            <w:tcW w:w="329"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580" w:lineRule="exact"/>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2</w:t>
            </w:r>
          </w:p>
        </w:tc>
      </w:tr>
      <w:tr>
        <w:tblPrEx>
          <w:tblCellMar>
            <w:top w:w="28" w:type="dxa"/>
            <w:left w:w="28" w:type="dxa"/>
            <w:bottom w:w="28" w:type="dxa"/>
            <w:right w:w="28" w:type="dxa"/>
          </w:tblCellMar>
        </w:tblPrEx>
        <w:trPr>
          <w:trHeight w:val="567" w:hRule="atLeast"/>
        </w:trPr>
        <w:tc>
          <w:tcPr>
            <w:tcW w:w="6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3</w:t>
            </w:r>
          </w:p>
        </w:tc>
        <w:tc>
          <w:tcPr>
            <w:tcW w:w="40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承担服务国家战略和上海建设任务（“一带一路”、乡村振兴、对口支援、长三角一体化和上海“五个中心”“五大新城”“四大品牌”等），得到国家和上海市有关部门和领导高度肯定。相关决策咨询报告得到重要批示。</w:t>
            </w:r>
          </w:p>
        </w:tc>
        <w:tc>
          <w:tcPr>
            <w:tcW w:w="329"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580" w:lineRule="exact"/>
              <w:jc w:val="center"/>
              <w:textAlignment w:val="center"/>
              <w:rPr>
                <w:rFonts w:hint="eastAsia" w:ascii="楷体" w:hAnsi="楷体" w:eastAsia="楷体" w:cs="楷体"/>
                <w:kern w:val="0"/>
                <w:sz w:val="24"/>
                <w:lang w:val="zh-CN" w:eastAsia="zh-CN"/>
              </w:rPr>
            </w:pPr>
            <w:r>
              <w:rPr>
                <w:rFonts w:hint="eastAsia" w:ascii="楷体" w:hAnsi="楷体" w:eastAsia="楷体" w:cs="楷体"/>
                <w:kern w:val="0"/>
                <w:sz w:val="24"/>
                <w:lang w:val="en-US" w:eastAsia="zh-CN"/>
              </w:rPr>
              <w:t>3</w:t>
            </w:r>
          </w:p>
        </w:tc>
      </w:tr>
      <w:tr>
        <w:tblPrEx>
          <w:tblCellMar>
            <w:top w:w="28" w:type="dxa"/>
            <w:left w:w="28" w:type="dxa"/>
            <w:bottom w:w="28" w:type="dxa"/>
            <w:right w:w="28" w:type="dxa"/>
          </w:tblCellMar>
        </w:tblPrEx>
        <w:trPr>
          <w:trHeight w:val="567" w:hRule="atLeast"/>
        </w:trPr>
        <w:tc>
          <w:tcPr>
            <w:tcW w:w="6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eastAsia="zh-CN"/>
              </w:rPr>
            </w:pPr>
            <w:r>
              <w:rPr>
                <w:rFonts w:hint="eastAsia" w:ascii="楷体" w:hAnsi="楷体" w:eastAsia="楷体" w:cs="楷体"/>
                <w:kern w:val="0"/>
                <w:sz w:val="24"/>
                <w:lang w:val="en-US" w:eastAsia="zh-CN"/>
              </w:rPr>
              <w:t>4</w:t>
            </w:r>
          </w:p>
        </w:tc>
        <w:tc>
          <w:tcPr>
            <w:tcW w:w="4035"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学院文化建设、文明创建特色明显并取得具有全国和全市有影响的标志性成果。</w:t>
            </w:r>
          </w:p>
        </w:tc>
        <w:tc>
          <w:tcPr>
            <w:tcW w:w="329" w:type="pct"/>
            <w:tcBorders>
              <w:top w:val="single" w:color="000000" w:sz="4" w:space="0"/>
              <w:left w:val="single" w:color="000000" w:sz="4" w:space="0"/>
              <w:bottom w:val="single" w:color="000000" w:sz="4" w:space="0"/>
              <w:right w:val="single" w:color="000000" w:sz="4" w:space="0"/>
            </w:tcBorders>
            <w:noWrap w:val="0"/>
            <w:tcMar>
              <w:top w:w="57" w:type="dxa"/>
              <w:left w:w="57" w:type="dxa"/>
              <w:bottom w:w="57" w:type="dxa"/>
              <w:right w:w="57" w:type="dxa"/>
            </w:tcMar>
            <w:vAlign w:val="center"/>
          </w:tcPr>
          <w:p>
            <w:pPr>
              <w:autoSpaceDE w:val="0"/>
              <w:autoSpaceDN w:val="0"/>
              <w:adjustRightInd w:val="0"/>
              <w:spacing w:line="580" w:lineRule="exact"/>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2</w:t>
            </w:r>
          </w:p>
        </w:tc>
      </w:tr>
    </w:tbl>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autoSpaceDE w:val="0"/>
        <w:autoSpaceDN w:val="0"/>
        <w:adjustRightInd w:val="0"/>
        <w:spacing w:line="276" w:lineRule="auto"/>
        <w:textAlignment w:val="center"/>
        <w:rPr>
          <w:rFonts w:hint="eastAsia" w:ascii="楷体" w:hAnsi="楷体" w:eastAsia="楷体" w:cs="方正楷体简体"/>
          <w:kern w:val="0"/>
          <w:sz w:val="24"/>
          <w:lang w:val="zh-CN"/>
        </w:rPr>
      </w:pPr>
    </w:p>
    <w:p>
      <w:pPr>
        <w:widowControl/>
        <w:spacing w:line="580" w:lineRule="exact"/>
        <w:jc w:val="center"/>
        <w:rPr>
          <w:rFonts w:hint="eastAsia" w:ascii="黑体" w:hAnsi="黑体" w:eastAsia="黑体" w:cs="方正黑体简体"/>
          <w:kern w:val="0"/>
          <w:sz w:val="28"/>
          <w:szCs w:val="28"/>
          <w:lang w:val="zh-CN"/>
        </w:rPr>
      </w:pPr>
      <w:r>
        <w:rPr>
          <w:rFonts w:hint="eastAsia" w:ascii="黑体" w:hAnsi="黑体" w:eastAsia="黑体" w:cs="方正黑体简体"/>
          <w:kern w:val="0"/>
          <w:sz w:val="28"/>
          <w:szCs w:val="28"/>
          <w:lang w:val="zh-CN"/>
        </w:rPr>
        <w:t>三、负面清单</w:t>
      </w:r>
    </w:p>
    <w:tbl>
      <w:tblPr>
        <w:tblStyle w:val="3"/>
        <w:tblW w:w="13298" w:type="dxa"/>
        <w:tblInd w:w="6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7806"/>
        <w:gridCol w:w="4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819" w:type="dxa"/>
            <w:vAlign w:val="center"/>
          </w:tcPr>
          <w:p>
            <w:pPr>
              <w:widowControl/>
              <w:snapToGrid w:val="0"/>
              <w:jc w:val="center"/>
              <w:rPr>
                <w:rFonts w:hint="eastAsia" w:ascii="黑体" w:hAnsi="黑体" w:eastAsia="黑体" w:cs="宋体"/>
                <w:b/>
                <w:bCs/>
                <w:kern w:val="0"/>
                <w:sz w:val="24"/>
                <w:szCs w:val="24"/>
                <w:lang w:val="en-US" w:eastAsia="zh-CN"/>
              </w:rPr>
            </w:pPr>
            <w:r>
              <w:rPr>
                <w:rFonts w:hint="eastAsia" w:ascii="黑体" w:hAnsi="黑体" w:eastAsia="黑体" w:cs="宋体"/>
                <w:b/>
                <w:bCs/>
                <w:kern w:val="0"/>
                <w:sz w:val="24"/>
                <w:szCs w:val="24"/>
                <w:lang w:val="en-US" w:eastAsia="zh-CN"/>
              </w:rPr>
              <w:t>序号</w:t>
            </w:r>
          </w:p>
        </w:tc>
        <w:tc>
          <w:tcPr>
            <w:tcW w:w="7806" w:type="dxa"/>
            <w:vAlign w:val="center"/>
          </w:tcPr>
          <w:p>
            <w:pPr>
              <w:widowControl/>
              <w:snapToGrid w:val="0"/>
              <w:jc w:val="center"/>
              <w:rPr>
                <w:rFonts w:hint="eastAsia" w:ascii="黑体" w:hAnsi="黑体" w:eastAsia="黑体" w:cs="宋体"/>
                <w:b/>
                <w:bCs/>
                <w:kern w:val="0"/>
                <w:sz w:val="24"/>
                <w:szCs w:val="24"/>
                <w:lang w:val="en-US" w:eastAsia="zh-CN"/>
              </w:rPr>
            </w:pPr>
            <w:r>
              <w:rPr>
                <w:rFonts w:hint="eastAsia" w:ascii="黑体" w:hAnsi="黑体" w:eastAsia="黑体" w:cs="宋体"/>
                <w:b/>
                <w:bCs/>
                <w:kern w:val="0"/>
                <w:sz w:val="24"/>
                <w:szCs w:val="24"/>
                <w:lang w:val="en-US" w:eastAsia="zh-CN"/>
              </w:rPr>
              <w:t>项目内容</w:t>
            </w:r>
          </w:p>
        </w:tc>
        <w:tc>
          <w:tcPr>
            <w:tcW w:w="4673" w:type="dxa"/>
            <w:vAlign w:val="center"/>
          </w:tcPr>
          <w:p>
            <w:pPr>
              <w:widowControl/>
              <w:snapToGrid w:val="0"/>
              <w:jc w:val="center"/>
              <w:rPr>
                <w:rFonts w:hint="eastAsia" w:ascii="黑体" w:hAnsi="黑体" w:eastAsia="黑体" w:cs="宋体"/>
                <w:b/>
                <w:bCs/>
                <w:kern w:val="0"/>
                <w:sz w:val="24"/>
                <w:szCs w:val="24"/>
                <w:lang w:val="en-US" w:eastAsia="zh-CN"/>
              </w:rPr>
            </w:pPr>
            <w:r>
              <w:rPr>
                <w:rFonts w:hint="eastAsia" w:ascii="黑体" w:hAnsi="黑体" w:eastAsia="黑体" w:cs="宋体"/>
                <w:b/>
                <w:bCs/>
                <w:kern w:val="0"/>
                <w:sz w:val="24"/>
                <w:szCs w:val="24"/>
                <w:lang w:val="en-US" w:eastAsia="zh-CN"/>
              </w:rPr>
              <w:t>惩戒办法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1</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学校领导班子发生严重违纪、违法行为。</w:t>
            </w:r>
          </w:p>
        </w:tc>
        <w:tc>
          <w:tcPr>
            <w:tcW w:w="4673" w:type="dxa"/>
            <w:vMerge w:val="restart"/>
            <w:vAlign w:val="center"/>
          </w:tcPr>
          <w:p>
            <w:pPr>
              <w:widowControl/>
              <w:numPr>
                <w:ilvl w:val="255"/>
                <w:numId w:val="0"/>
              </w:numPr>
              <w:jc w:val="left"/>
              <w:rPr>
                <w:rFonts w:hint="eastAsia" w:ascii="楷体" w:hAnsi="楷体" w:eastAsia="楷体" w:cs="楷体"/>
                <w:kern w:val="0"/>
                <w:sz w:val="20"/>
                <w:szCs w:val="20"/>
                <w:lang w:val="zh-CN" w:bidi="zh-CN"/>
              </w:rPr>
            </w:pPr>
            <w:r>
              <w:rPr>
                <w:rFonts w:hint="eastAsia" w:ascii="楷体" w:hAnsi="楷体" w:eastAsia="楷体" w:cs="楷体"/>
                <w:kern w:val="0"/>
                <w:sz w:val="24"/>
                <w:lang w:val="zh-CN"/>
              </w:rPr>
              <w:t>创建届期内，发生以下负面清单所列情况的，经相关职能部门认定，取消“文明单位”创建培育资格。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2</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党的建设和意识形态工作出现严重问题。</w:t>
            </w:r>
          </w:p>
        </w:tc>
        <w:tc>
          <w:tcPr>
            <w:tcW w:w="4673" w:type="dxa"/>
            <w:vMerge w:val="continue"/>
          </w:tcPr>
          <w:p>
            <w:pPr>
              <w:widowControl/>
              <w:numPr>
                <w:ilvl w:val="255"/>
                <w:numId w:val="0"/>
              </w:numPr>
              <w:jc w:val="center"/>
              <w:rPr>
                <w:rFonts w:hint="eastAsia" w:ascii="楷体" w:hAnsi="楷体" w:eastAsia="楷体" w:cs="楷体"/>
                <w:kern w:val="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3</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en-US" w:eastAsia="zh-CN"/>
              </w:rPr>
              <w:t>有影响社会稳定的重大事件。</w:t>
            </w:r>
          </w:p>
        </w:tc>
        <w:tc>
          <w:tcPr>
            <w:tcW w:w="4673" w:type="dxa"/>
            <w:vMerge w:val="continue"/>
          </w:tcPr>
          <w:p>
            <w:pPr>
              <w:widowControl/>
              <w:numPr>
                <w:ilvl w:val="255"/>
                <w:numId w:val="0"/>
              </w:numPr>
              <w:jc w:val="center"/>
              <w:rPr>
                <w:rFonts w:hint="eastAsia" w:ascii="楷体" w:hAnsi="楷体" w:eastAsia="楷体" w:cs="楷体"/>
                <w:kern w:val="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4</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有</w:t>
            </w:r>
            <w:r>
              <w:rPr>
                <w:rFonts w:hint="eastAsia" w:ascii="楷体" w:hAnsi="楷体" w:eastAsia="楷体" w:cs="楷体"/>
                <w:kern w:val="0"/>
                <w:sz w:val="24"/>
                <w:lang w:val="en-US" w:eastAsia="zh-CN"/>
              </w:rPr>
              <w:t>重大校园</w:t>
            </w:r>
            <w:r>
              <w:rPr>
                <w:rFonts w:hint="eastAsia" w:ascii="楷体" w:hAnsi="楷体" w:eastAsia="楷体" w:cs="楷体"/>
                <w:kern w:val="0"/>
                <w:sz w:val="24"/>
                <w:lang w:val="zh-CN"/>
              </w:rPr>
              <w:t>安全责任事故、</w:t>
            </w:r>
            <w:r>
              <w:rPr>
                <w:rFonts w:hint="eastAsia" w:ascii="楷体" w:hAnsi="楷体" w:eastAsia="楷体" w:cs="楷体"/>
                <w:kern w:val="0"/>
                <w:sz w:val="24"/>
                <w:lang w:val="en-US" w:eastAsia="zh-CN"/>
              </w:rPr>
              <w:t>重大</w:t>
            </w:r>
            <w:r>
              <w:rPr>
                <w:rFonts w:hint="eastAsia" w:ascii="楷体" w:hAnsi="楷体" w:eastAsia="楷体" w:cs="楷体"/>
                <w:kern w:val="0"/>
                <w:sz w:val="24"/>
                <w:lang w:val="zh-CN"/>
              </w:rPr>
              <w:t>消防责任事故、</w:t>
            </w:r>
            <w:r>
              <w:rPr>
                <w:rFonts w:hint="eastAsia" w:ascii="楷体" w:hAnsi="楷体" w:eastAsia="楷体" w:cs="楷体"/>
                <w:kern w:val="0"/>
                <w:sz w:val="24"/>
                <w:lang w:val="en-US" w:eastAsia="zh-CN"/>
              </w:rPr>
              <w:t>重大</w:t>
            </w:r>
            <w:r>
              <w:rPr>
                <w:rFonts w:hint="eastAsia" w:ascii="楷体" w:hAnsi="楷体" w:eastAsia="楷体" w:cs="楷体"/>
                <w:kern w:val="0"/>
                <w:sz w:val="24"/>
                <w:lang w:val="zh-CN"/>
              </w:rPr>
              <w:t>不诚信事件、</w:t>
            </w:r>
            <w:r>
              <w:rPr>
                <w:rFonts w:hint="eastAsia" w:ascii="楷体" w:hAnsi="楷体" w:eastAsia="楷体" w:cs="楷体"/>
                <w:kern w:val="0"/>
                <w:sz w:val="24"/>
                <w:lang w:val="en-US" w:eastAsia="zh-CN"/>
              </w:rPr>
              <w:t>重大</w:t>
            </w:r>
            <w:r>
              <w:rPr>
                <w:rFonts w:hint="eastAsia" w:ascii="楷体" w:hAnsi="楷体" w:eastAsia="楷体" w:cs="楷体"/>
                <w:kern w:val="0"/>
                <w:sz w:val="24"/>
                <w:lang w:val="zh-CN"/>
              </w:rPr>
              <w:t>公共卫生事件、</w:t>
            </w:r>
            <w:r>
              <w:rPr>
                <w:rFonts w:hint="eastAsia" w:ascii="楷体" w:hAnsi="楷体" w:eastAsia="楷体" w:cs="楷体"/>
                <w:kern w:val="0"/>
                <w:sz w:val="24"/>
                <w:lang w:val="en-US" w:eastAsia="zh-CN"/>
              </w:rPr>
              <w:t>重大</w:t>
            </w:r>
            <w:r>
              <w:rPr>
                <w:rFonts w:hint="eastAsia" w:ascii="楷体" w:hAnsi="楷体" w:eastAsia="楷体" w:cs="楷体"/>
                <w:kern w:val="0"/>
                <w:sz w:val="24"/>
                <w:lang w:val="zh-CN"/>
              </w:rPr>
              <w:t>校园环境安全事件、</w:t>
            </w:r>
            <w:r>
              <w:rPr>
                <w:rFonts w:hint="eastAsia" w:ascii="楷体" w:hAnsi="楷体" w:eastAsia="楷体" w:cs="楷体"/>
                <w:kern w:val="0"/>
                <w:sz w:val="24"/>
                <w:lang w:val="en-US" w:eastAsia="zh-CN"/>
              </w:rPr>
              <w:t>重大</w:t>
            </w:r>
            <w:r>
              <w:rPr>
                <w:rFonts w:hint="eastAsia" w:ascii="楷体" w:hAnsi="楷体" w:eastAsia="楷体" w:cs="楷体"/>
                <w:kern w:val="0"/>
                <w:sz w:val="24"/>
                <w:lang w:val="zh-CN"/>
              </w:rPr>
              <w:t>网络安全事</w:t>
            </w:r>
            <w:r>
              <w:rPr>
                <w:rFonts w:hint="eastAsia" w:ascii="楷体" w:hAnsi="楷体" w:eastAsia="楷体" w:cs="楷体"/>
                <w:kern w:val="0"/>
                <w:sz w:val="24"/>
                <w:lang w:val="en-US" w:eastAsia="zh-CN"/>
              </w:rPr>
              <w:t>件。</w:t>
            </w:r>
          </w:p>
        </w:tc>
        <w:tc>
          <w:tcPr>
            <w:tcW w:w="4673" w:type="dxa"/>
            <w:vMerge w:val="continue"/>
          </w:tcPr>
          <w:p>
            <w:pPr>
              <w:widowControl/>
              <w:numPr>
                <w:ilvl w:val="255"/>
                <w:numId w:val="0"/>
              </w:numPr>
              <w:jc w:val="center"/>
              <w:rPr>
                <w:rFonts w:hint="eastAsia" w:ascii="楷体" w:hAnsi="楷体" w:eastAsia="楷体" w:cs="楷体"/>
                <w:kern w:val="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5</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eastAsia="zh-CN"/>
              </w:rPr>
            </w:pPr>
            <w:r>
              <w:rPr>
                <w:rFonts w:hint="eastAsia" w:ascii="楷体" w:hAnsi="楷体" w:eastAsia="楷体" w:cs="楷体"/>
                <w:kern w:val="0"/>
                <w:sz w:val="24"/>
                <w:lang w:val="en-US" w:eastAsia="zh-CN"/>
              </w:rPr>
              <w:t>在学校“平安单位”评比活动中被评为不合格单位。</w:t>
            </w:r>
          </w:p>
        </w:tc>
        <w:tc>
          <w:tcPr>
            <w:tcW w:w="4673" w:type="dxa"/>
            <w:vMerge w:val="continue"/>
          </w:tcPr>
          <w:p>
            <w:pPr>
              <w:widowControl/>
              <w:numPr>
                <w:ilvl w:val="255"/>
                <w:numId w:val="0"/>
              </w:numPr>
              <w:jc w:val="center"/>
              <w:rPr>
                <w:rFonts w:hint="eastAsia" w:ascii="楷体" w:hAnsi="楷体" w:eastAsia="楷体" w:cs="楷体"/>
                <w:kern w:val="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6</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eastAsia="zh-CN"/>
              </w:rPr>
            </w:pPr>
            <w:r>
              <w:rPr>
                <w:rFonts w:hint="eastAsia" w:ascii="楷体" w:hAnsi="楷体" w:eastAsia="楷体" w:cs="楷体"/>
                <w:kern w:val="0"/>
                <w:sz w:val="24"/>
                <w:lang w:val="en-US" w:eastAsia="zh-CN"/>
              </w:rPr>
              <w:t>有造成重大社会影响的</w:t>
            </w:r>
            <w:r>
              <w:rPr>
                <w:rFonts w:hint="eastAsia" w:ascii="楷体" w:hAnsi="楷体" w:eastAsia="楷体" w:cs="楷体"/>
                <w:kern w:val="0"/>
                <w:sz w:val="24"/>
                <w:lang w:val="zh-CN"/>
              </w:rPr>
              <w:t>师生员工违法犯罪案件</w:t>
            </w:r>
            <w:r>
              <w:rPr>
                <w:rFonts w:hint="eastAsia" w:ascii="楷体" w:hAnsi="楷体" w:eastAsia="楷体" w:cs="楷体"/>
                <w:kern w:val="0"/>
                <w:sz w:val="24"/>
                <w:lang w:val="zh-CN" w:eastAsia="zh-CN"/>
              </w:rPr>
              <w:t>。</w:t>
            </w:r>
          </w:p>
        </w:tc>
        <w:tc>
          <w:tcPr>
            <w:tcW w:w="4673" w:type="dxa"/>
            <w:vMerge w:val="continue"/>
          </w:tcPr>
          <w:p>
            <w:pPr>
              <w:widowControl/>
              <w:numPr>
                <w:ilvl w:val="255"/>
                <w:numId w:val="0"/>
              </w:numPr>
              <w:jc w:val="center"/>
              <w:rPr>
                <w:rFonts w:hint="eastAsia" w:ascii="楷体" w:hAnsi="楷体" w:eastAsia="楷体" w:cs="楷体"/>
                <w:kern w:val="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zh-CN"/>
              </w:rPr>
            </w:pPr>
            <w:r>
              <w:rPr>
                <w:rFonts w:hint="eastAsia" w:ascii="楷体" w:hAnsi="楷体" w:eastAsia="楷体" w:cs="楷体"/>
                <w:kern w:val="0"/>
                <w:sz w:val="24"/>
                <w:lang w:val="zh-CN"/>
              </w:rPr>
              <w:t>7</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eastAsia="zh-CN"/>
              </w:rPr>
            </w:pPr>
            <w:r>
              <w:rPr>
                <w:rFonts w:hint="eastAsia" w:ascii="楷体" w:hAnsi="楷体" w:eastAsia="楷体" w:cs="楷体"/>
                <w:kern w:val="0"/>
                <w:sz w:val="24"/>
                <w:lang w:val="zh-CN"/>
              </w:rPr>
              <w:t>有</w:t>
            </w:r>
            <w:r>
              <w:rPr>
                <w:rFonts w:hint="eastAsia" w:ascii="楷体" w:hAnsi="楷体" w:eastAsia="楷体" w:cs="楷体"/>
                <w:kern w:val="0"/>
                <w:sz w:val="24"/>
                <w:lang w:val="en-US" w:eastAsia="zh-CN"/>
              </w:rPr>
              <w:t>严重</w:t>
            </w:r>
            <w:r>
              <w:rPr>
                <w:rFonts w:hint="eastAsia" w:ascii="楷体" w:hAnsi="楷体" w:eastAsia="楷体" w:cs="楷体"/>
                <w:kern w:val="0"/>
                <w:sz w:val="24"/>
                <w:lang w:val="zh-CN"/>
              </w:rPr>
              <w:t>违规办学（办班）、违规招生和违规收费问题</w:t>
            </w:r>
            <w:r>
              <w:rPr>
                <w:rFonts w:hint="eastAsia" w:ascii="楷体" w:hAnsi="楷体" w:eastAsia="楷体" w:cs="楷体"/>
                <w:kern w:val="0"/>
                <w:sz w:val="24"/>
                <w:lang w:val="zh-CN" w:eastAsia="zh-CN"/>
              </w:rPr>
              <w:t>。</w:t>
            </w:r>
          </w:p>
        </w:tc>
        <w:tc>
          <w:tcPr>
            <w:tcW w:w="4673" w:type="dxa"/>
            <w:vMerge w:val="continue"/>
          </w:tcPr>
          <w:p>
            <w:pPr>
              <w:widowControl/>
              <w:numPr>
                <w:ilvl w:val="255"/>
                <w:numId w:val="0"/>
              </w:numPr>
              <w:jc w:val="center"/>
              <w:rPr>
                <w:rFonts w:hint="eastAsia" w:ascii="楷体" w:hAnsi="楷体" w:eastAsia="楷体" w:cs="楷体"/>
                <w:kern w:val="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819" w:type="dxa"/>
            <w:vAlign w:val="center"/>
          </w:tcPr>
          <w:p>
            <w:pPr>
              <w:autoSpaceDE w:val="0"/>
              <w:autoSpaceDN w:val="0"/>
              <w:adjustRightInd w:val="0"/>
              <w:spacing w:line="276" w:lineRule="auto"/>
              <w:jc w:val="center"/>
              <w:textAlignment w:val="center"/>
              <w:rPr>
                <w:rFonts w:hint="eastAsia" w:ascii="楷体" w:hAnsi="楷体" w:eastAsia="楷体" w:cs="楷体"/>
                <w:kern w:val="0"/>
                <w:sz w:val="24"/>
                <w:lang w:val="en-US"/>
              </w:rPr>
            </w:pPr>
            <w:r>
              <w:rPr>
                <w:rFonts w:hint="eastAsia" w:ascii="楷体" w:hAnsi="楷体" w:eastAsia="楷体" w:cs="楷体"/>
                <w:kern w:val="0"/>
                <w:sz w:val="24"/>
                <w:lang w:val="en-US"/>
              </w:rPr>
              <w:t>8</w:t>
            </w:r>
          </w:p>
        </w:tc>
        <w:tc>
          <w:tcPr>
            <w:tcW w:w="7806" w:type="dxa"/>
            <w:vAlign w:val="center"/>
          </w:tcPr>
          <w:p>
            <w:pPr>
              <w:autoSpaceDE w:val="0"/>
              <w:autoSpaceDN w:val="0"/>
              <w:adjustRightInd w:val="0"/>
              <w:spacing w:line="276" w:lineRule="auto"/>
              <w:jc w:val="left"/>
              <w:textAlignment w:val="center"/>
              <w:rPr>
                <w:rFonts w:hint="eastAsia" w:ascii="楷体" w:hAnsi="楷体" w:eastAsia="楷体" w:cs="楷体"/>
                <w:kern w:val="0"/>
                <w:sz w:val="24"/>
                <w:lang w:val="zh-CN" w:eastAsia="zh-CN"/>
              </w:rPr>
            </w:pPr>
            <w:r>
              <w:rPr>
                <w:rFonts w:hint="eastAsia" w:ascii="楷体" w:hAnsi="楷体" w:eastAsia="楷体" w:cs="楷体"/>
                <w:kern w:val="0"/>
                <w:sz w:val="24"/>
                <w:lang w:val="zh-CN"/>
              </w:rPr>
              <w:t>教师中</w:t>
            </w:r>
            <w:r>
              <w:rPr>
                <w:rFonts w:hint="eastAsia" w:ascii="楷体" w:hAnsi="楷体" w:eastAsia="楷体" w:cs="楷体"/>
                <w:kern w:val="0"/>
                <w:sz w:val="24"/>
                <w:lang w:val="en-US" w:eastAsia="zh-CN"/>
              </w:rPr>
              <w:t>有严重违反师德行为</w:t>
            </w:r>
            <w:r>
              <w:rPr>
                <w:rFonts w:hint="eastAsia" w:ascii="楷体" w:hAnsi="楷体" w:eastAsia="楷体" w:cs="楷体"/>
                <w:kern w:val="0"/>
                <w:sz w:val="24"/>
                <w:lang w:val="zh-CN"/>
              </w:rPr>
              <w:t>，或学生中发生欺凌、暴力行为，造成恶劣</w:t>
            </w:r>
            <w:r>
              <w:rPr>
                <w:rFonts w:hint="eastAsia" w:ascii="楷体" w:hAnsi="楷体" w:eastAsia="楷体" w:cs="楷体"/>
                <w:kern w:val="0"/>
                <w:sz w:val="24"/>
                <w:lang w:val="en-US" w:eastAsia="zh-CN"/>
              </w:rPr>
              <w:t>社会</w:t>
            </w:r>
            <w:r>
              <w:rPr>
                <w:rFonts w:hint="eastAsia" w:ascii="楷体" w:hAnsi="楷体" w:eastAsia="楷体" w:cs="楷体"/>
                <w:kern w:val="0"/>
                <w:sz w:val="24"/>
                <w:lang w:val="zh-CN"/>
              </w:rPr>
              <w:t>影响。</w:t>
            </w:r>
          </w:p>
          <w:p>
            <w:pPr>
              <w:autoSpaceDE w:val="0"/>
              <w:autoSpaceDN w:val="0"/>
              <w:adjustRightInd w:val="0"/>
              <w:spacing w:line="276" w:lineRule="auto"/>
              <w:jc w:val="left"/>
              <w:textAlignment w:val="center"/>
              <w:rPr>
                <w:rFonts w:hint="eastAsia" w:ascii="楷体" w:hAnsi="楷体" w:eastAsia="楷体" w:cs="楷体"/>
                <w:kern w:val="0"/>
                <w:sz w:val="24"/>
                <w:lang w:val="zh-CN"/>
              </w:rPr>
            </w:pPr>
          </w:p>
        </w:tc>
        <w:tc>
          <w:tcPr>
            <w:tcW w:w="4673" w:type="dxa"/>
            <w:vMerge w:val="continue"/>
          </w:tcPr>
          <w:p>
            <w:pPr>
              <w:widowControl/>
              <w:numPr>
                <w:ilvl w:val="255"/>
                <w:numId w:val="0"/>
              </w:numPr>
              <w:jc w:val="center"/>
              <w:rPr>
                <w:rFonts w:hint="eastAsia" w:ascii="楷体" w:hAnsi="楷体" w:eastAsia="楷体" w:cs="楷体"/>
                <w:kern w:val="0"/>
                <w:sz w:val="36"/>
                <w:szCs w:val="36"/>
              </w:rPr>
            </w:pPr>
          </w:p>
        </w:tc>
      </w:tr>
    </w:tbl>
    <w:p>
      <w:pPr>
        <w:autoSpaceDE w:val="0"/>
        <w:autoSpaceDN w:val="0"/>
        <w:adjustRightInd w:val="0"/>
        <w:spacing w:line="276" w:lineRule="auto"/>
        <w:textAlignment w:val="center"/>
        <w:rPr>
          <w:rFonts w:hint="eastAsia" w:ascii="楷体" w:hAnsi="楷体" w:eastAsia="楷体" w:cs="方正楷体简体"/>
          <w:kern w:val="0"/>
          <w:sz w:val="24"/>
          <w:lang w:val="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E37B7A-ED19-43BB-A4AB-9FB0D3C20D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embedRegular r:id="rId2" w:fontKey="{47944151-C7A9-40BD-B999-6F14644C8F0F}"/>
  </w:font>
  <w:font w:name="仿宋">
    <w:panose1 w:val="02010609060101010101"/>
    <w:charset w:val="86"/>
    <w:family w:val="modern"/>
    <w:pitch w:val="default"/>
    <w:sig w:usb0="800002BF" w:usb1="38CF7CFA" w:usb2="00000016" w:usb3="00000000" w:csb0="00040001" w:csb1="00000000"/>
    <w:embedRegular r:id="rId3" w:fontKey="{ECB0206D-FC45-4FEB-A383-4D0EF49B09F4}"/>
  </w:font>
  <w:font w:name="楷体">
    <w:panose1 w:val="02010609060101010101"/>
    <w:charset w:val="86"/>
    <w:family w:val="modern"/>
    <w:pitch w:val="default"/>
    <w:sig w:usb0="800002BF" w:usb1="38CF7CFA" w:usb2="00000016" w:usb3="00000000" w:csb0="00040001" w:csb1="00000000"/>
    <w:embedRegular r:id="rId4" w:fontKey="{E4FA608D-B805-466C-9509-D82053768814}"/>
  </w:font>
  <w:font w:name="方正楷体简体">
    <w:panose1 w:val="02000000000000000000"/>
    <w:charset w:val="86"/>
    <w:family w:val="auto"/>
    <w:pitch w:val="default"/>
    <w:sig w:usb0="A00002BF" w:usb1="184F6CFA" w:usb2="00000012" w:usb3="00000000" w:csb0="00040001" w:csb1="00000000"/>
    <w:embedRegular r:id="rId5" w:fontKey="{CB4F332F-FE9E-4679-9114-B34D8B2B7425}"/>
  </w:font>
  <w:font w:name="方正黑体简体">
    <w:altName w:val="宋体"/>
    <w:panose1 w:val="00000000000000000000"/>
    <w:charset w:val="86"/>
    <w:family w:val="auto"/>
    <w:pitch w:val="default"/>
    <w:sig w:usb0="00000000" w:usb1="00000000" w:usb2="00000010" w:usb3="00000000" w:csb0="00040000" w:csb1="00000000"/>
    <w:embedRegular r:id="rId6" w:fontKey="{81114383-1FA0-4638-8315-F1A1BF06971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xNGQ2ODQ0YzljMTg0ZTFmYjlhNjAwNDFjZmQwNmIifQ=="/>
  </w:docVars>
  <w:rsids>
    <w:rsidRoot w:val="6AA36F8D"/>
    <w:rsid w:val="010351AA"/>
    <w:rsid w:val="01FE4A55"/>
    <w:rsid w:val="040948E9"/>
    <w:rsid w:val="06057FE3"/>
    <w:rsid w:val="113B44EC"/>
    <w:rsid w:val="165374A7"/>
    <w:rsid w:val="1668353E"/>
    <w:rsid w:val="23F81EC3"/>
    <w:rsid w:val="25AF2202"/>
    <w:rsid w:val="25B53E66"/>
    <w:rsid w:val="2A4614B3"/>
    <w:rsid w:val="2B715CC4"/>
    <w:rsid w:val="303B7416"/>
    <w:rsid w:val="31810675"/>
    <w:rsid w:val="32380BAE"/>
    <w:rsid w:val="32556397"/>
    <w:rsid w:val="4476700E"/>
    <w:rsid w:val="45B4765B"/>
    <w:rsid w:val="47B93D6C"/>
    <w:rsid w:val="538D7DE7"/>
    <w:rsid w:val="579D2DD8"/>
    <w:rsid w:val="5A71501B"/>
    <w:rsid w:val="60A204FC"/>
    <w:rsid w:val="61B2747F"/>
    <w:rsid w:val="64EF4547"/>
    <w:rsid w:val="668A4527"/>
    <w:rsid w:val="66BC2B4E"/>
    <w:rsid w:val="6AA36F8D"/>
    <w:rsid w:val="786A065C"/>
    <w:rsid w:val="799843BD"/>
    <w:rsid w:val="7BEB1AB4"/>
    <w:rsid w:val="7D042C0E"/>
    <w:rsid w:val="7DF54524"/>
    <w:rsid w:val="7E060C3B"/>
    <w:rsid w:val="7E8C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Paragraph"/>
    <w:basedOn w:val="1"/>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5069</Words>
  <Characters>5216</Characters>
  <Lines>0</Lines>
  <Paragraphs>0</Paragraphs>
  <TotalTime>86</TotalTime>
  <ScaleCrop>false</ScaleCrop>
  <LinksUpToDate>false</LinksUpToDate>
  <CharactersWithSpaces>5216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2023-05-08T06:40:00Z</dcterms:created>
  <dc:creator>王木木</dc:creator>
  <cp:lastModifiedBy>王木木</cp:lastModifiedBy>
  <dcterms:modified xsi:type="dcterms:W3CDTF">2023-05-16T01:54:43Z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AA4B19D2D8364C56B0776E3B26A6CB33_11</vt:lpwstr>
  </property>
</Properties>
</file>